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7DD6C" w14:textId="77777777" w:rsidR="00810CC2" w:rsidRPr="00F26752" w:rsidRDefault="00810CC2" w:rsidP="00810CC2">
      <w:pPr>
        <w:pStyle w:val="Title"/>
        <w:tabs>
          <w:tab w:val="clear" w:pos="1440"/>
          <w:tab w:val="clear" w:pos="3060"/>
        </w:tabs>
        <w:outlineLvl w:val="9"/>
        <w:rPr>
          <w:rFonts w:ascii="Arial" w:hAnsi="Arial" w:cs="Arial"/>
          <w:smallCaps/>
          <w:sz w:val="22"/>
          <w:szCs w:val="22"/>
        </w:rPr>
      </w:pPr>
      <w:r w:rsidRPr="00F26752">
        <w:rPr>
          <w:rFonts w:ascii="Arial" w:hAnsi="Arial" w:cs="Arial"/>
          <w:smallCaps/>
          <w:sz w:val="22"/>
          <w:szCs w:val="22"/>
        </w:rPr>
        <w:t>Document of the Inter-American Development Bank</w:t>
      </w:r>
    </w:p>
    <w:p w14:paraId="28762259" w14:textId="77777777" w:rsidR="00810CC2" w:rsidRPr="00F26752" w:rsidRDefault="00810CC2" w:rsidP="00810CC2">
      <w:pPr>
        <w:pStyle w:val="ListParagraph"/>
        <w:spacing w:before="120" w:after="0" w:line="360" w:lineRule="auto"/>
        <w:ind w:left="0"/>
        <w:jc w:val="center"/>
        <w:rPr>
          <w:rFonts w:ascii="Arial" w:hAnsi="Arial" w:cs="Arial"/>
          <w:b/>
        </w:rPr>
      </w:pPr>
    </w:p>
    <w:p w14:paraId="571066F4" w14:textId="77777777" w:rsidR="00810CC2" w:rsidRPr="00F26752" w:rsidRDefault="00810CC2" w:rsidP="00810CC2">
      <w:pPr>
        <w:tabs>
          <w:tab w:val="left" w:pos="1440"/>
          <w:tab w:val="left" w:pos="3060"/>
        </w:tabs>
        <w:jc w:val="center"/>
        <w:rPr>
          <w:rFonts w:ascii="Arial" w:hAnsi="Arial" w:cs="Arial"/>
          <w:b/>
          <w:smallCaps/>
        </w:rPr>
      </w:pPr>
    </w:p>
    <w:p w14:paraId="2B4A8871" w14:textId="77777777" w:rsidR="00810CC2" w:rsidRPr="00F26752" w:rsidRDefault="00810CC2" w:rsidP="00810CC2">
      <w:pPr>
        <w:tabs>
          <w:tab w:val="left" w:pos="1440"/>
          <w:tab w:val="left" w:pos="3060"/>
        </w:tabs>
        <w:jc w:val="center"/>
        <w:rPr>
          <w:rFonts w:ascii="Arial" w:hAnsi="Arial" w:cs="Arial"/>
          <w:b/>
          <w:smallCaps/>
        </w:rPr>
      </w:pPr>
    </w:p>
    <w:p w14:paraId="65611CCF" w14:textId="77777777" w:rsidR="00810CC2" w:rsidRPr="00EE5C4D" w:rsidRDefault="009D1392" w:rsidP="00810CC2">
      <w:pPr>
        <w:tabs>
          <w:tab w:val="left" w:pos="1440"/>
          <w:tab w:val="left" w:pos="3060"/>
        </w:tabs>
        <w:jc w:val="center"/>
        <w:rPr>
          <w:rFonts w:ascii="Arial" w:hAnsi="Arial" w:cs="Arial"/>
          <w:b/>
          <w:smallCaps/>
          <w:sz w:val="28"/>
          <w:szCs w:val="28"/>
        </w:rPr>
      </w:pPr>
      <w:r w:rsidRPr="00EE5C4D">
        <w:rPr>
          <w:rFonts w:ascii="Arial" w:hAnsi="Arial" w:cs="Arial"/>
          <w:b/>
          <w:smallCaps/>
          <w:sz w:val="28"/>
          <w:szCs w:val="28"/>
        </w:rPr>
        <w:t>Colombia</w:t>
      </w:r>
    </w:p>
    <w:p w14:paraId="599B0F28" w14:textId="77777777" w:rsidR="00810CC2" w:rsidRPr="00EE5C4D" w:rsidRDefault="00810CC2" w:rsidP="00810CC2">
      <w:pPr>
        <w:tabs>
          <w:tab w:val="left" w:pos="1440"/>
          <w:tab w:val="left" w:pos="3060"/>
        </w:tabs>
        <w:jc w:val="center"/>
        <w:rPr>
          <w:rFonts w:ascii="Arial" w:hAnsi="Arial" w:cs="Arial"/>
          <w:b/>
          <w:smallCaps/>
        </w:rPr>
      </w:pPr>
    </w:p>
    <w:p w14:paraId="2CA16931" w14:textId="77777777" w:rsidR="00810CC2" w:rsidRPr="00EE5C4D" w:rsidRDefault="00810CC2" w:rsidP="00810CC2">
      <w:pPr>
        <w:tabs>
          <w:tab w:val="left" w:pos="1440"/>
          <w:tab w:val="left" w:pos="3060"/>
        </w:tabs>
        <w:jc w:val="center"/>
        <w:rPr>
          <w:rFonts w:ascii="Arial" w:hAnsi="Arial" w:cs="Arial"/>
          <w:b/>
          <w:smallCaps/>
          <w:sz w:val="28"/>
          <w:szCs w:val="28"/>
        </w:rPr>
      </w:pPr>
    </w:p>
    <w:p w14:paraId="474D59B6" w14:textId="77777777" w:rsidR="004C751D" w:rsidRPr="008C57DE" w:rsidRDefault="004C751D" w:rsidP="004C751D">
      <w:pPr>
        <w:jc w:val="center"/>
        <w:rPr>
          <w:rFonts w:ascii="Arial" w:hAnsi="Arial" w:cs="Arial"/>
          <w:b/>
          <w:smallCaps/>
          <w:sz w:val="28"/>
          <w:szCs w:val="24"/>
        </w:rPr>
      </w:pPr>
      <w:r>
        <w:rPr>
          <w:rFonts w:ascii="Arial" w:hAnsi="Arial" w:cs="Arial"/>
          <w:b/>
          <w:smallCaps/>
          <w:sz w:val="28"/>
          <w:szCs w:val="24"/>
        </w:rPr>
        <w:t>CTF Renewal Energy Financing Program for the Non-Interconnected Zones</w:t>
      </w:r>
    </w:p>
    <w:p w14:paraId="7D777DF2" w14:textId="77777777" w:rsidR="00810CC2" w:rsidRPr="00F26752" w:rsidRDefault="004C751D" w:rsidP="004C751D">
      <w:pPr>
        <w:tabs>
          <w:tab w:val="left" w:pos="1440"/>
          <w:tab w:val="left" w:pos="3060"/>
        </w:tabs>
        <w:jc w:val="center"/>
        <w:rPr>
          <w:rFonts w:ascii="Arial" w:hAnsi="Arial" w:cs="Arial"/>
          <w:b/>
          <w:smallCaps/>
          <w:sz w:val="24"/>
          <w:szCs w:val="24"/>
        </w:rPr>
      </w:pPr>
      <w:r w:rsidRPr="00EE5C4D">
        <w:rPr>
          <w:rFonts w:ascii="Arial" w:hAnsi="Arial" w:cs="Arial"/>
          <w:b/>
          <w:smallCaps/>
          <w:sz w:val="24"/>
          <w:szCs w:val="24"/>
        </w:rPr>
        <w:t xml:space="preserve"> </w:t>
      </w:r>
      <w:r w:rsidR="00810CC2" w:rsidRPr="00EE5C4D">
        <w:rPr>
          <w:rFonts w:ascii="Arial" w:hAnsi="Arial" w:cs="Arial"/>
          <w:b/>
          <w:smallCaps/>
          <w:sz w:val="24"/>
          <w:szCs w:val="24"/>
        </w:rPr>
        <w:t>(</w:t>
      </w:r>
      <w:r>
        <w:rPr>
          <w:rFonts w:ascii="Arial" w:hAnsi="Arial" w:cs="Arial"/>
          <w:b/>
          <w:smallCaps/>
          <w:sz w:val="24"/>
          <w:szCs w:val="24"/>
        </w:rPr>
        <w:t>CO-L</w:t>
      </w:r>
      <w:r w:rsidR="009D1392" w:rsidRPr="00EE5C4D">
        <w:rPr>
          <w:rFonts w:ascii="Arial" w:hAnsi="Arial" w:cs="Arial"/>
          <w:b/>
          <w:smallCaps/>
          <w:sz w:val="24"/>
          <w:szCs w:val="24"/>
        </w:rPr>
        <w:t>1</w:t>
      </w:r>
      <w:r>
        <w:rPr>
          <w:rFonts w:ascii="Arial" w:hAnsi="Arial" w:cs="Arial"/>
          <w:b/>
          <w:smallCaps/>
          <w:sz w:val="24"/>
          <w:szCs w:val="24"/>
        </w:rPr>
        <w:t>161</w:t>
      </w:r>
      <w:r w:rsidR="00810CC2" w:rsidRPr="00EE5C4D">
        <w:rPr>
          <w:rFonts w:ascii="Arial" w:hAnsi="Arial" w:cs="Arial"/>
          <w:b/>
          <w:smallCaps/>
          <w:sz w:val="24"/>
          <w:szCs w:val="24"/>
        </w:rPr>
        <w:t>)</w:t>
      </w:r>
    </w:p>
    <w:p w14:paraId="6C279D27" w14:textId="77777777" w:rsidR="00810CC2" w:rsidRPr="00F26752" w:rsidRDefault="00810CC2" w:rsidP="00810CC2">
      <w:pPr>
        <w:pStyle w:val="Newpage"/>
        <w:rPr>
          <w:rFonts w:ascii="Arial" w:hAnsi="Arial"/>
          <w:b w:val="0"/>
          <w:caps/>
          <w:smallCaps w:val="0"/>
          <w:sz w:val="22"/>
          <w:szCs w:val="22"/>
        </w:rPr>
      </w:pPr>
    </w:p>
    <w:p w14:paraId="46C4E544" w14:textId="77777777" w:rsidR="00810CC2" w:rsidRPr="00F26752" w:rsidRDefault="00810CC2" w:rsidP="00810CC2">
      <w:pPr>
        <w:tabs>
          <w:tab w:val="left" w:pos="1440"/>
          <w:tab w:val="left" w:pos="3060"/>
        </w:tabs>
        <w:jc w:val="center"/>
        <w:rPr>
          <w:rFonts w:ascii="Arial" w:hAnsi="Arial" w:cs="Arial"/>
          <w:smallCaps/>
        </w:rPr>
      </w:pPr>
    </w:p>
    <w:p w14:paraId="0A9C448A" w14:textId="77777777" w:rsidR="00810CC2" w:rsidRPr="00F26752" w:rsidRDefault="00810CC2" w:rsidP="00810CC2">
      <w:pPr>
        <w:tabs>
          <w:tab w:val="left" w:pos="1440"/>
          <w:tab w:val="left" w:pos="3060"/>
        </w:tabs>
        <w:jc w:val="center"/>
        <w:outlineLvl w:val="0"/>
        <w:rPr>
          <w:rFonts w:ascii="Arial" w:hAnsi="Arial" w:cs="Arial"/>
          <w:b/>
          <w:smallCaps/>
          <w:sz w:val="24"/>
          <w:szCs w:val="24"/>
        </w:rPr>
      </w:pPr>
      <w:r w:rsidRPr="00F26752">
        <w:rPr>
          <w:rFonts w:ascii="Arial" w:hAnsi="Arial" w:cs="Arial"/>
          <w:b/>
          <w:smallCaps/>
          <w:sz w:val="24"/>
          <w:szCs w:val="24"/>
        </w:rPr>
        <w:t>Economic Analysis Annex</w:t>
      </w:r>
    </w:p>
    <w:p w14:paraId="27FE05A7" w14:textId="77777777" w:rsidR="00810CC2" w:rsidRPr="00F26752" w:rsidRDefault="00810CC2" w:rsidP="00810CC2">
      <w:pPr>
        <w:tabs>
          <w:tab w:val="left" w:pos="1440"/>
          <w:tab w:val="left" w:pos="3060"/>
        </w:tabs>
        <w:outlineLvl w:val="0"/>
        <w:rPr>
          <w:rFonts w:ascii="Arial" w:hAnsi="Arial" w:cs="Arial"/>
          <w:b/>
          <w:smallCaps/>
        </w:rPr>
      </w:pPr>
    </w:p>
    <w:p w14:paraId="572B8EE4" w14:textId="77777777" w:rsidR="00810CC2" w:rsidRPr="00F26752" w:rsidRDefault="00810CC2" w:rsidP="00810CC2">
      <w:pPr>
        <w:pStyle w:val="ListParagraph"/>
        <w:spacing w:before="120" w:after="0" w:line="360" w:lineRule="auto"/>
        <w:ind w:left="1080"/>
        <w:jc w:val="center"/>
        <w:rPr>
          <w:rFonts w:ascii="Arial" w:hAnsi="Arial" w:cs="Arial"/>
          <w:b/>
        </w:rPr>
      </w:pPr>
    </w:p>
    <w:p w14:paraId="3D1595A6" w14:textId="77777777" w:rsidR="00810CC2" w:rsidRPr="00F26752" w:rsidRDefault="00810CC2" w:rsidP="00810CC2">
      <w:pPr>
        <w:pStyle w:val="ListParagraph"/>
        <w:spacing w:before="120" w:after="0" w:line="360" w:lineRule="auto"/>
        <w:ind w:left="1080"/>
        <w:jc w:val="center"/>
        <w:rPr>
          <w:rFonts w:ascii="Arial" w:hAnsi="Arial" w:cs="Arial"/>
          <w:b/>
        </w:rPr>
      </w:pPr>
    </w:p>
    <w:p w14:paraId="001ACC76" w14:textId="77777777" w:rsidR="00810CC2" w:rsidRPr="00F26752" w:rsidRDefault="00810CC2" w:rsidP="00810CC2">
      <w:pPr>
        <w:pStyle w:val="ListParagraph"/>
        <w:spacing w:before="120" w:after="0" w:line="360" w:lineRule="auto"/>
        <w:ind w:left="1080"/>
        <w:jc w:val="center"/>
        <w:rPr>
          <w:rFonts w:ascii="Arial" w:hAnsi="Arial" w:cs="Arial"/>
          <w:b/>
        </w:rPr>
      </w:pPr>
    </w:p>
    <w:p w14:paraId="1F228577" w14:textId="77777777" w:rsidR="00810CC2" w:rsidRPr="00F26752" w:rsidRDefault="00810CC2" w:rsidP="00810CC2">
      <w:pPr>
        <w:pStyle w:val="ListParagraph"/>
        <w:spacing w:before="120" w:after="0" w:line="360" w:lineRule="auto"/>
        <w:ind w:left="1080"/>
        <w:jc w:val="center"/>
        <w:rPr>
          <w:rFonts w:ascii="Arial" w:hAnsi="Arial" w:cs="Arial"/>
          <w:b/>
        </w:rPr>
      </w:pPr>
    </w:p>
    <w:p w14:paraId="0A66DB5C" w14:textId="77777777" w:rsidR="00810CC2" w:rsidRPr="00F26752" w:rsidRDefault="00810CC2" w:rsidP="00810CC2">
      <w:pPr>
        <w:pStyle w:val="ListParagraph"/>
        <w:spacing w:before="120" w:after="0" w:line="360" w:lineRule="auto"/>
        <w:ind w:left="1080"/>
        <w:jc w:val="center"/>
        <w:rPr>
          <w:rFonts w:ascii="Arial" w:hAnsi="Arial" w:cs="Arial"/>
          <w:b/>
        </w:rPr>
      </w:pPr>
    </w:p>
    <w:p w14:paraId="26FA11F8" w14:textId="77777777" w:rsidR="00810CC2" w:rsidRPr="00F26752" w:rsidRDefault="00810CC2" w:rsidP="00810CC2">
      <w:pPr>
        <w:pStyle w:val="ListParagraph"/>
        <w:spacing w:before="120" w:after="0" w:line="360" w:lineRule="auto"/>
        <w:ind w:left="1080"/>
        <w:jc w:val="center"/>
        <w:rPr>
          <w:rFonts w:ascii="Arial" w:hAnsi="Arial" w:cs="Arial"/>
          <w:b/>
        </w:rPr>
      </w:pPr>
    </w:p>
    <w:p w14:paraId="62901DC0" w14:textId="77777777" w:rsidR="00810CC2" w:rsidRPr="00F26752" w:rsidRDefault="00810CC2" w:rsidP="00810CC2">
      <w:pPr>
        <w:pStyle w:val="ListParagraph"/>
        <w:spacing w:before="120" w:after="0" w:line="360" w:lineRule="auto"/>
        <w:ind w:left="1080"/>
        <w:jc w:val="center"/>
        <w:rPr>
          <w:rFonts w:ascii="Arial" w:hAnsi="Arial" w:cs="Arial"/>
          <w:b/>
        </w:rPr>
      </w:pPr>
    </w:p>
    <w:p w14:paraId="4DD2339A" w14:textId="77777777" w:rsidR="00810CC2" w:rsidRDefault="00810CC2" w:rsidP="00810CC2">
      <w:pPr>
        <w:pStyle w:val="ListParagraph"/>
        <w:spacing w:before="120" w:after="0" w:line="360" w:lineRule="auto"/>
        <w:ind w:left="1080"/>
        <w:jc w:val="center"/>
        <w:rPr>
          <w:rFonts w:ascii="Arial" w:hAnsi="Arial" w:cs="Arial"/>
          <w:b/>
        </w:rPr>
      </w:pPr>
    </w:p>
    <w:p w14:paraId="14128785" w14:textId="77777777" w:rsidR="00720BE2" w:rsidRDefault="00720BE2" w:rsidP="00810CC2">
      <w:pPr>
        <w:pStyle w:val="ListParagraph"/>
        <w:spacing w:before="120" w:after="0" w:line="360" w:lineRule="auto"/>
        <w:ind w:left="1080"/>
        <w:jc w:val="center"/>
        <w:rPr>
          <w:rFonts w:ascii="Arial" w:hAnsi="Arial" w:cs="Arial"/>
          <w:b/>
        </w:rPr>
      </w:pPr>
    </w:p>
    <w:p w14:paraId="25E5B45D" w14:textId="77777777" w:rsidR="00720BE2" w:rsidRDefault="00720BE2" w:rsidP="00810CC2">
      <w:pPr>
        <w:pStyle w:val="ListParagraph"/>
        <w:spacing w:before="120" w:after="0" w:line="360" w:lineRule="auto"/>
        <w:ind w:left="1080"/>
        <w:jc w:val="center"/>
        <w:rPr>
          <w:rFonts w:ascii="Arial" w:hAnsi="Arial" w:cs="Arial"/>
          <w:b/>
        </w:rPr>
      </w:pPr>
    </w:p>
    <w:p w14:paraId="78450C5A" w14:textId="77777777" w:rsidR="00720BE2" w:rsidRPr="00F26752" w:rsidRDefault="00720BE2" w:rsidP="00810CC2">
      <w:pPr>
        <w:pStyle w:val="ListParagraph"/>
        <w:spacing w:before="120" w:after="0" w:line="360" w:lineRule="auto"/>
        <w:ind w:left="1080"/>
        <w:jc w:val="center"/>
        <w:rPr>
          <w:rFonts w:ascii="Arial" w:hAnsi="Arial" w:cs="Arial"/>
          <w:b/>
        </w:rPr>
      </w:pPr>
    </w:p>
    <w:p w14:paraId="0BF7DE39" w14:textId="77777777" w:rsidR="00810CC2" w:rsidRPr="00F26752" w:rsidRDefault="00810CC2" w:rsidP="00810CC2">
      <w:pPr>
        <w:pStyle w:val="ListParagraph"/>
        <w:spacing w:before="120" w:after="0" w:line="360" w:lineRule="auto"/>
        <w:ind w:left="1080"/>
        <w:jc w:val="center"/>
        <w:rPr>
          <w:rFonts w:ascii="Arial" w:hAnsi="Arial" w:cs="Arial"/>
          <w:b/>
        </w:rPr>
      </w:pPr>
    </w:p>
    <w:p w14:paraId="3F14D832" w14:textId="77777777" w:rsidR="00810CC2" w:rsidRPr="00F26752" w:rsidRDefault="00810CC2" w:rsidP="00810CC2">
      <w:pPr>
        <w:tabs>
          <w:tab w:val="left" w:pos="1440"/>
          <w:tab w:val="left" w:pos="3060"/>
        </w:tabs>
        <w:jc w:val="center"/>
        <w:rPr>
          <w:rFonts w:ascii="Arial" w:hAnsi="Arial" w:cs="Arial"/>
          <w:sz w:val="20"/>
          <w:szCs w:val="20"/>
        </w:rPr>
      </w:pPr>
    </w:p>
    <w:p w14:paraId="1DB6C571" w14:textId="77777777" w:rsidR="00810CC2" w:rsidRPr="00F26752" w:rsidRDefault="00810CC2" w:rsidP="00810CC2">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szCs w:val="20"/>
        </w:rPr>
      </w:pPr>
      <w:r w:rsidRPr="00F26752">
        <w:rPr>
          <w:rFonts w:ascii="Arial" w:hAnsi="Arial" w:cs="Arial"/>
          <w:sz w:val="20"/>
          <w:szCs w:val="20"/>
        </w:rPr>
        <w:t>This document was prepared by:</w:t>
      </w:r>
    </w:p>
    <w:p w14:paraId="07C13A46" w14:textId="77777777" w:rsidR="00810CC2" w:rsidRPr="00920CC5" w:rsidRDefault="008D4E68" w:rsidP="00810CC2">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0"/>
          <w:szCs w:val="20"/>
          <w:lang w:val="es-ES_tradnl"/>
        </w:rPr>
      </w:pPr>
      <w:r w:rsidRPr="00920CC5">
        <w:rPr>
          <w:rFonts w:ascii="Arial" w:hAnsi="Arial" w:cs="Arial"/>
          <w:sz w:val="20"/>
          <w:szCs w:val="20"/>
          <w:lang w:val="es-ES_tradnl"/>
        </w:rPr>
        <w:t>Sebastian Vargas Macedo</w:t>
      </w:r>
      <w:r>
        <w:rPr>
          <w:rFonts w:ascii="Arial" w:hAnsi="Arial" w:cs="Arial"/>
          <w:sz w:val="20"/>
          <w:szCs w:val="20"/>
          <w:lang w:val="es-ES_tradnl"/>
        </w:rPr>
        <w:t xml:space="preserve"> and </w:t>
      </w:r>
      <w:r w:rsidR="004C751D">
        <w:rPr>
          <w:rFonts w:ascii="Arial" w:hAnsi="Arial" w:cs="Arial"/>
          <w:sz w:val="20"/>
          <w:szCs w:val="20"/>
          <w:lang w:val="es-ES_tradnl"/>
        </w:rPr>
        <w:t xml:space="preserve">Alejandro Tamola </w:t>
      </w:r>
      <w:r w:rsidR="00A16F18" w:rsidRPr="00920CC5">
        <w:rPr>
          <w:rFonts w:ascii="Arial" w:hAnsi="Arial" w:cs="Arial"/>
          <w:sz w:val="20"/>
          <w:szCs w:val="20"/>
          <w:lang w:val="es-ES_tradnl"/>
        </w:rPr>
        <w:t>(IFD/CMF)</w:t>
      </w:r>
    </w:p>
    <w:p w14:paraId="1AE54814" w14:textId="77777777" w:rsidR="00810CC2" w:rsidRPr="00920CC5" w:rsidRDefault="00810CC2" w:rsidP="00810CC2">
      <w:pPr>
        <w:pStyle w:val="BodyText"/>
        <w:pBdr>
          <w:top w:val="single" w:sz="4" w:space="1" w:color="auto"/>
          <w:left w:val="single" w:sz="4" w:space="4" w:color="auto"/>
          <w:bottom w:val="single" w:sz="4" w:space="1" w:color="auto"/>
          <w:right w:val="single" w:sz="4" w:space="4" w:color="auto"/>
        </w:pBdr>
        <w:tabs>
          <w:tab w:val="left" w:pos="1440"/>
        </w:tabs>
        <w:jc w:val="both"/>
        <w:rPr>
          <w:rFonts w:ascii="Arial" w:hAnsi="Arial" w:cs="Arial"/>
          <w:sz w:val="22"/>
          <w:szCs w:val="22"/>
          <w:lang w:val="es-ES_tradnl"/>
        </w:rPr>
      </w:pPr>
    </w:p>
    <w:p w14:paraId="690AE707" w14:textId="77777777" w:rsidR="00810CC2" w:rsidRPr="00920CC5" w:rsidRDefault="00810CC2" w:rsidP="00FD25E2">
      <w:pPr>
        <w:pStyle w:val="BodyText"/>
        <w:tabs>
          <w:tab w:val="left" w:pos="1440"/>
        </w:tabs>
        <w:jc w:val="both"/>
        <w:rPr>
          <w:rFonts w:ascii="Arial" w:hAnsi="Arial" w:cs="Arial"/>
          <w:b/>
          <w:sz w:val="4"/>
          <w:szCs w:val="4"/>
          <w:lang w:val="es-ES_tradnl"/>
        </w:rPr>
      </w:pPr>
    </w:p>
    <w:p w14:paraId="624DE77C" w14:textId="77777777" w:rsidR="00810CC2" w:rsidRPr="00F26752" w:rsidRDefault="00810CC2" w:rsidP="00733014">
      <w:pPr>
        <w:numPr>
          <w:ilvl w:val="0"/>
          <w:numId w:val="5"/>
        </w:numPr>
        <w:spacing w:before="360" w:after="120"/>
        <w:jc w:val="center"/>
        <w:rPr>
          <w:rFonts w:ascii="Arial" w:hAnsi="Arial" w:cs="Arial"/>
          <w:b/>
          <w:smallCaps/>
          <w:sz w:val="24"/>
          <w:szCs w:val="24"/>
        </w:rPr>
      </w:pPr>
      <w:r w:rsidRPr="00F26752">
        <w:rPr>
          <w:rFonts w:ascii="Arial" w:hAnsi="Arial" w:cs="Arial"/>
          <w:b/>
          <w:smallCaps/>
          <w:sz w:val="24"/>
          <w:szCs w:val="24"/>
        </w:rPr>
        <w:lastRenderedPageBreak/>
        <w:t>Introduction</w:t>
      </w:r>
    </w:p>
    <w:p w14:paraId="61B6681F" w14:textId="77777777" w:rsidR="00ED0D8E" w:rsidRPr="00ED0D8E" w:rsidRDefault="00ED0D8E" w:rsidP="00733014">
      <w:pPr>
        <w:pStyle w:val="ListParagraph"/>
        <w:numPr>
          <w:ilvl w:val="1"/>
          <w:numId w:val="5"/>
        </w:numPr>
        <w:spacing w:after="120"/>
        <w:jc w:val="both"/>
        <w:rPr>
          <w:rFonts w:ascii="Arial" w:hAnsi="Arial" w:cs="Arial"/>
        </w:rPr>
      </w:pPr>
      <w:r w:rsidRPr="00ED0D8E">
        <w:rPr>
          <w:rFonts w:ascii="Arial" w:hAnsi="Arial" w:cs="Arial"/>
        </w:rPr>
        <w:t>In the current context of global climate change, governments in emerging economies have to face the important challenge of responding to increasing demands for energy while maximizing their system’s supply reliability, efficiency and sustainability. Investments in power generation from clean sources play a big role in this process, contributing to diversifying the countries’ energy matrixes and mitigating the negative environmental impacts of conventional power technologies.</w:t>
      </w:r>
    </w:p>
    <w:p w14:paraId="2DC55291" w14:textId="77777777" w:rsidR="00D8635D" w:rsidRDefault="00ED0D8E" w:rsidP="00733014">
      <w:pPr>
        <w:pStyle w:val="ListParagraph"/>
        <w:numPr>
          <w:ilvl w:val="1"/>
          <w:numId w:val="5"/>
        </w:numPr>
        <w:spacing w:after="120"/>
        <w:jc w:val="both"/>
        <w:rPr>
          <w:rFonts w:ascii="Arial" w:hAnsi="Arial" w:cs="Arial"/>
        </w:rPr>
      </w:pPr>
      <w:r w:rsidRPr="00ED0D8E">
        <w:rPr>
          <w:rFonts w:ascii="Arial" w:hAnsi="Arial" w:cs="Arial"/>
        </w:rPr>
        <w:t xml:space="preserve">While Colombia has a high average electricity coverage index (96.1% ), it has about 60% of its territory not inter-connected to the electricity grid, with about 1.8 million inhabitants relying on limited dispersed energy services generated mainly with diesel technology (96.3% of generation) corresponding to emissions of </w:t>
      </w:r>
      <w:r>
        <w:rPr>
          <w:rFonts w:ascii="Arial" w:hAnsi="Arial" w:cs="Arial"/>
        </w:rPr>
        <w:t xml:space="preserve">about </w:t>
      </w:r>
      <w:r w:rsidRPr="00ED0D8E">
        <w:rPr>
          <w:rFonts w:ascii="Arial" w:hAnsi="Arial" w:cs="Arial"/>
        </w:rPr>
        <w:t>375,650 tons of CO</w:t>
      </w:r>
      <w:r w:rsidRPr="00ED0D8E">
        <w:rPr>
          <w:rFonts w:ascii="Arial" w:hAnsi="Arial" w:cs="Arial"/>
          <w:vertAlign w:val="subscript"/>
        </w:rPr>
        <w:t>2e</w:t>
      </w:r>
      <w:r w:rsidRPr="00ED0D8E">
        <w:rPr>
          <w:rFonts w:ascii="Arial" w:hAnsi="Arial" w:cs="Arial"/>
        </w:rPr>
        <w:t xml:space="preserve">  a year.</w:t>
      </w:r>
    </w:p>
    <w:p w14:paraId="05FD4E56" w14:textId="77777777" w:rsidR="00733014" w:rsidRPr="008F4BE2" w:rsidRDefault="00733014" w:rsidP="00733014">
      <w:pPr>
        <w:pStyle w:val="Paragraph"/>
        <w:numPr>
          <w:ilvl w:val="1"/>
          <w:numId w:val="5"/>
        </w:numPr>
        <w:spacing w:line="276" w:lineRule="auto"/>
        <w:rPr>
          <w:rFonts w:ascii="Arial" w:hAnsi="Arial" w:cs="Arial"/>
          <w:sz w:val="22"/>
        </w:rPr>
      </w:pPr>
      <w:bookmarkStart w:id="0" w:name="_Ref429757103"/>
      <w:r w:rsidRPr="008F4BE2">
        <w:rPr>
          <w:rFonts w:ascii="Arial" w:hAnsi="Arial" w:cs="Arial"/>
          <w:sz w:val="22"/>
        </w:rPr>
        <w:t>The current delivery of electricity services in the ZNIs is based on a subsidized business model</w:t>
      </w:r>
      <w:r w:rsidRPr="008F4BE2">
        <w:rPr>
          <w:rStyle w:val="FootnoteReference"/>
          <w:rFonts w:ascii="Arial" w:hAnsi="Arial" w:cs="Arial"/>
          <w:sz w:val="22"/>
        </w:rPr>
        <w:footnoteReference w:id="1"/>
      </w:r>
      <w:r w:rsidRPr="008F4BE2">
        <w:rPr>
          <w:rFonts w:ascii="Arial" w:hAnsi="Arial" w:cs="Arial"/>
          <w:sz w:val="22"/>
        </w:rPr>
        <w:t xml:space="preserve">. In most cases operators depend on subsidies that cover the difference between the lower tariffs charged to strata 1 to 3 end users in the ZNIs and the tariff paid by end-users of the same strata (socio-economic conditions and productive activity) in the SIN. Investments in generation, maintenance and distribution are often not commercially viable, with subsidies covering 30% to 80% of costs. The value of these subsidies paid by the government in 2008-2012 </w:t>
      </w:r>
      <w:r>
        <w:rPr>
          <w:rFonts w:ascii="Arial" w:hAnsi="Arial" w:cs="Arial"/>
          <w:sz w:val="22"/>
        </w:rPr>
        <w:t xml:space="preserve">to strata 1-3 in the ZNIs and SIN </w:t>
      </w:r>
      <w:r w:rsidRPr="008F4BE2">
        <w:rPr>
          <w:rFonts w:ascii="Arial" w:hAnsi="Arial" w:cs="Arial"/>
          <w:sz w:val="22"/>
        </w:rPr>
        <w:t>is estimated at US$381 million</w:t>
      </w:r>
      <w:r w:rsidRPr="008F4BE2">
        <w:rPr>
          <w:rStyle w:val="FootnoteReference"/>
          <w:rFonts w:ascii="Arial" w:hAnsi="Arial" w:cs="Arial"/>
          <w:sz w:val="22"/>
        </w:rPr>
        <w:footnoteReference w:id="2"/>
      </w:r>
      <w:r w:rsidRPr="008F4BE2">
        <w:rPr>
          <w:rFonts w:ascii="Arial" w:hAnsi="Arial" w:cs="Arial"/>
          <w:sz w:val="22"/>
        </w:rPr>
        <w:t>.</w:t>
      </w:r>
      <w:bookmarkEnd w:id="0"/>
      <w:r w:rsidRPr="008F4BE2">
        <w:rPr>
          <w:rFonts w:ascii="Arial" w:hAnsi="Arial" w:cs="Arial"/>
          <w:sz w:val="22"/>
        </w:rPr>
        <w:t xml:space="preserve">     </w:t>
      </w:r>
    </w:p>
    <w:p w14:paraId="61B2DB8F" w14:textId="77777777" w:rsidR="00ED0D8E" w:rsidRDefault="00733014" w:rsidP="00733014">
      <w:pPr>
        <w:pStyle w:val="ListParagraph"/>
        <w:numPr>
          <w:ilvl w:val="1"/>
          <w:numId w:val="5"/>
        </w:numPr>
        <w:spacing w:after="120"/>
        <w:jc w:val="both"/>
        <w:rPr>
          <w:rFonts w:ascii="Arial" w:hAnsi="Arial" w:cs="Arial"/>
        </w:rPr>
      </w:pPr>
      <w:r w:rsidRPr="00733014">
        <w:rPr>
          <w:rFonts w:ascii="Arial" w:hAnsi="Arial" w:cs="Arial"/>
        </w:rPr>
        <w:t xml:space="preserve">The proposed program will provide </w:t>
      </w:r>
      <w:proofErr w:type="spellStart"/>
      <w:r w:rsidRPr="00733014">
        <w:rPr>
          <w:rFonts w:ascii="Arial" w:hAnsi="Arial" w:cs="Arial"/>
        </w:rPr>
        <w:t>Bancóldex</w:t>
      </w:r>
      <w:proofErr w:type="spellEnd"/>
      <w:r w:rsidRPr="00733014">
        <w:rPr>
          <w:rFonts w:ascii="Arial" w:hAnsi="Arial" w:cs="Arial"/>
        </w:rPr>
        <w:t xml:space="preserve">, Colombia’s second tier public bank in charge of supporting entrepreneurial development, with additional long term finance to enhance access to long term finance by private sector investors on terms and conditions needed to cover </w:t>
      </w:r>
      <w:r>
        <w:rPr>
          <w:rFonts w:ascii="Arial" w:hAnsi="Arial" w:cs="Arial"/>
        </w:rPr>
        <w:t>investment costs</w:t>
      </w:r>
      <w:r w:rsidRPr="00733014">
        <w:rPr>
          <w:rFonts w:ascii="Arial" w:hAnsi="Arial" w:cs="Arial"/>
        </w:rPr>
        <w:t xml:space="preserve"> and payback requirements of RE projects in the ZNIs through on-lending to IFIs that should in turn provide sub-loans in adequate terms to these investors.</w:t>
      </w:r>
    </w:p>
    <w:p w14:paraId="259DDE22" w14:textId="77777777" w:rsidR="00733014" w:rsidRDefault="00733014" w:rsidP="00733014">
      <w:pPr>
        <w:spacing w:after="120"/>
        <w:jc w:val="both"/>
        <w:rPr>
          <w:rFonts w:ascii="Arial" w:hAnsi="Arial" w:cs="Arial"/>
        </w:rPr>
      </w:pPr>
    </w:p>
    <w:p w14:paraId="345F8862" w14:textId="77777777" w:rsidR="00733014" w:rsidRDefault="00733014" w:rsidP="00733014">
      <w:pPr>
        <w:spacing w:after="120"/>
        <w:jc w:val="both"/>
        <w:rPr>
          <w:rFonts w:ascii="Arial" w:hAnsi="Arial" w:cs="Arial"/>
        </w:rPr>
      </w:pPr>
    </w:p>
    <w:p w14:paraId="4FFFDCC2" w14:textId="77777777" w:rsidR="00733014" w:rsidRDefault="00733014" w:rsidP="00733014">
      <w:pPr>
        <w:spacing w:after="120"/>
        <w:jc w:val="both"/>
        <w:rPr>
          <w:rFonts w:ascii="Arial" w:hAnsi="Arial" w:cs="Arial"/>
        </w:rPr>
      </w:pPr>
    </w:p>
    <w:p w14:paraId="25C4F16B" w14:textId="77777777" w:rsidR="00733014" w:rsidRDefault="00733014" w:rsidP="00733014">
      <w:pPr>
        <w:spacing w:after="120"/>
        <w:jc w:val="both"/>
        <w:rPr>
          <w:rFonts w:ascii="Arial" w:hAnsi="Arial" w:cs="Arial"/>
        </w:rPr>
      </w:pPr>
    </w:p>
    <w:p w14:paraId="0F6E61C7" w14:textId="77777777" w:rsidR="00733014" w:rsidRDefault="00733014" w:rsidP="00733014">
      <w:pPr>
        <w:spacing w:after="120"/>
        <w:jc w:val="both"/>
        <w:rPr>
          <w:rFonts w:ascii="Arial" w:hAnsi="Arial" w:cs="Arial"/>
        </w:rPr>
      </w:pPr>
    </w:p>
    <w:p w14:paraId="18A9C2D9" w14:textId="77777777" w:rsidR="00733014" w:rsidRDefault="00733014" w:rsidP="00733014">
      <w:pPr>
        <w:spacing w:after="120"/>
        <w:jc w:val="both"/>
        <w:rPr>
          <w:rFonts w:ascii="Arial" w:hAnsi="Arial" w:cs="Arial"/>
        </w:rPr>
      </w:pPr>
    </w:p>
    <w:p w14:paraId="43A4B11C" w14:textId="77777777" w:rsidR="00720BE2" w:rsidRDefault="00720BE2" w:rsidP="00733014">
      <w:pPr>
        <w:spacing w:after="120"/>
        <w:jc w:val="both"/>
        <w:rPr>
          <w:rFonts w:ascii="Arial" w:hAnsi="Arial" w:cs="Arial"/>
        </w:rPr>
      </w:pPr>
    </w:p>
    <w:p w14:paraId="202B5471" w14:textId="77777777" w:rsidR="00733014" w:rsidRPr="00733014" w:rsidRDefault="00733014" w:rsidP="00733014">
      <w:pPr>
        <w:spacing w:after="120"/>
        <w:jc w:val="both"/>
        <w:rPr>
          <w:rFonts w:ascii="Arial" w:hAnsi="Arial" w:cs="Arial"/>
        </w:rPr>
      </w:pPr>
    </w:p>
    <w:p w14:paraId="395341A7" w14:textId="77777777" w:rsidR="00810CC2" w:rsidRPr="00F26752" w:rsidRDefault="00810CC2" w:rsidP="00ED0D8E">
      <w:pPr>
        <w:numPr>
          <w:ilvl w:val="0"/>
          <w:numId w:val="5"/>
        </w:numPr>
        <w:spacing w:before="360" w:after="120"/>
        <w:jc w:val="center"/>
        <w:rPr>
          <w:rFonts w:ascii="Arial" w:hAnsi="Arial" w:cs="Arial"/>
          <w:b/>
          <w:smallCaps/>
          <w:sz w:val="24"/>
          <w:szCs w:val="24"/>
        </w:rPr>
      </w:pPr>
      <w:r w:rsidRPr="00F26752">
        <w:rPr>
          <w:rFonts w:ascii="Arial" w:hAnsi="Arial" w:cs="Arial"/>
          <w:b/>
          <w:smallCaps/>
          <w:sz w:val="24"/>
          <w:szCs w:val="24"/>
        </w:rPr>
        <w:lastRenderedPageBreak/>
        <w:t>Assumptions and Methodology</w:t>
      </w:r>
    </w:p>
    <w:p w14:paraId="4A0A6BE6" w14:textId="77777777" w:rsidR="009D1392" w:rsidRPr="00F26752" w:rsidRDefault="009D1392" w:rsidP="00997B4E">
      <w:pPr>
        <w:pStyle w:val="ListParagraph"/>
        <w:numPr>
          <w:ilvl w:val="0"/>
          <w:numId w:val="11"/>
        </w:numPr>
        <w:spacing w:after="120"/>
        <w:contextualSpacing w:val="0"/>
        <w:jc w:val="both"/>
        <w:rPr>
          <w:rFonts w:ascii="Arial" w:hAnsi="Arial" w:cs="Arial"/>
          <w:b/>
        </w:rPr>
      </w:pPr>
      <w:r w:rsidRPr="00F26752">
        <w:rPr>
          <w:rFonts w:ascii="Arial" w:hAnsi="Arial" w:cs="Arial"/>
          <w:b/>
        </w:rPr>
        <w:t>Methodology</w:t>
      </w:r>
    </w:p>
    <w:p w14:paraId="0CDA344B" w14:textId="77777777" w:rsidR="009D1392" w:rsidRPr="00F26752" w:rsidRDefault="009D1392" w:rsidP="00997B4E">
      <w:pPr>
        <w:pStyle w:val="ListParagraph"/>
        <w:numPr>
          <w:ilvl w:val="1"/>
          <w:numId w:val="5"/>
        </w:numPr>
        <w:spacing w:after="120"/>
        <w:contextualSpacing w:val="0"/>
        <w:jc w:val="both"/>
        <w:rPr>
          <w:rFonts w:ascii="Arial" w:hAnsi="Arial" w:cs="Arial"/>
        </w:rPr>
      </w:pPr>
      <w:r w:rsidRPr="00F26752">
        <w:rPr>
          <w:rFonts w:ascii="Arial" w:hAnsi="Arial" w:cs="Arial"/>
        </w:rPr>
        <w:t>Evidence of the economic viability of the proposed program</w:t>
      </w:r>
      <w:r w:rsidR="00A25E36">
        <w:rPr>
          <w:rFonts w:ascii="Arial" w:hAnsi="Arial" w:cs="Arial"/>
        </w:rPr>
        <w:t xml:space="preserve"> is presented below, based on </w:t>
      </w:r>
      <w:r w:rsidRPr="00F26752">
        <w:rPr>
          <w:rFonts w:ascii="Arial" w:hAnsi="Arial" w:cs="Arial"/>
        </w:rPr>
        <w:t xml:space="preserve">a cost-benefit analysis focused on the objective of the program, namely, the increase in </w:t>
      </w:r>
      <w:r w:rsidR="00A25E36">
        <w:rPr>
          <w:rFonts w:ascii="Arial" w:hAnsi="Arial" w:cs="Arial"/>
        </w:rPr>
        <w:t>renewable</w:t>
      </w:r>
      <w:r w:rsidRPr="00F26752">
        <w:rPr>
          <w:rFonts w:ascii="Arial" w:hAnsi="Arial" w:cs="Arial"/>
        </w:rPr>
        <w:t xml:space="preserve"> energy production</w:t>
      </w:r>
      <w:r w:rsidR="00A25E36">
        <w:rPr>
          <w:rFonts w:ascii="Arial" w:hAnsi="Arial" w:cs="Arial"/>
        </w:rPr>
        <w:t xml:space="preserve"> in the ZNIs and the reduction in greenhouse gas emissions.</w:t>
      </w:r>
    </w:p>
    <w:p w14:paraId="2A14DDA4" w14:textId="77777777" w:rsidR="007D21CD" w:rsidRPr="00F26752" w:rsidRDefault="007D21CD" w:rsidP="00997B4E">
      <w:pPr>
        <w:pStyle w:val="ListParagraph"/>
        <w:numPr>
          <w:ilvl w:val="1"/>
          <w:numId w:val="5"/>
        </w:numPr>
        <w:spacing w:after="120"/>
        <w:contextualSpacing w:val="0"/>
        <w:jc w:val="both"/>
        <w:rPr>
          <w:rFonts w:ascii="Arial" w:hAnsi="Arial" w:cs="Arial"/>
        </w:rPr>
      </w:pPr>
      <w:r w:rsidRPr="00F26752">
        <w:rPr>
          <w:rFonts w:ascii="Arial" w:hAnsi="Arial" w:cs="Arial"/>
        </w:rPr>
        <w:t>The economic analysis</w:t>
      </w:r>
      <w:r w:rsidR="00AE1C12" w:rsidRPr="00F26752">
        <w:rPr>
          <w:rFonts w:ascii="Arial" w:hAnsi="Arial" w:cs="Arial"/>
        </w:rPr>
        <w:t xml:space="preserve"> for the proposed intervention</w:t>
      </w:r>
      <w:r w:rsidRPr="00F26752">
        <w:rPr>
          <w:rFonts w:ascii="Arial" w:hAnsi="Arial" w:cs="Arial"/>
        </w:rPr>
        <w:t xml:space="preserve"> presents two main results:</w:t>
      </w:r>
    </w:p>
    <w:p w14:paraId="7D879F7C" w14:textId="77777777" w:rsidR="007D21CD" w:rsidRPr="00F26752" w:rsidRDefault="007D21CD" w:rsidP="00997B4E">
      <w:pPr>
        <w:pStyle w:val="ListParagraph"/>
        <w:numPr>
          <w:ilvl w:val="2"/>
          <w:numId w:val="5"/>
        </w:numPr>
        <w:spacing w:after="120"/>
        <w:contextualSpacing w:val="0"/>
        <w:jc w:val="both"/>
        <w:rPr>
          <w:rFonts w:ascii="Arial" w:hAnsi="Arial" w:cs="Arial"/>
        </w:rPr>
      </w:pPr>
      <w:r w:rsidRPr="00F26752">
        <w:rPr>
          <w:rFonts w:ascii="Arial" w:hAnsi="Arial" w:cs="Arial"/>
        </w:rPr>
        <w:t xml:space="preserve">A </w:t>
      </w:r>
      <w:r w:rsidR="00A25E36">
        <w:rPr>
          <w:rFonts w:ascii="Arial" w:hAnsi="Arial" w:cs="Arial"/>
        </w:rPr>
        <w:t>unit abatement cost</w:t>
      </w:r>
      <w:r w:rsidRPr="00F26752">
        <w:rPr>
          <w:rFonts w:ascii="Arial" w:hAnsi="Arial" w:cs="Arial"/>
        </w:rPr>
        <w:t xml:space="preserve">, comparing the total investment of the program per CO2 unit abated to </w:t>
      </w:r>
      <w:r w:rsidR="00A25E36">
        <w:rPr>
          <w:rFonts w:ascii="Arial" w:hAnsi="Arial" w:cs="Arial"/>
        </w:rPr>
        <w:t>diesel-based electricity</w:t>
      </w:r>
      <w:r w:rsidR="0013218D" w:rsidRPr="00F26752">
        <w:rPr>
          <w:rFonts w:ascii="Arial" w:hAnsi="Arial" w:cs="Arial"/>
        </w:rPr>
        <w:t xml:space="preserve"> generation in Colombia</w:t>
      </w:r>
      <w:r w:rsidR="00A25E36">
        <w:rPr>
          <w:rFonts w:ascii="Arial" w:hAnsi="Arial" w:cs="Arial"/>
        </w:rPr>
        <w:t>’s ZNIs</w:t>
      </w:r>
      <w:r w:rsidRPr="00F26752">
        <w:rPr>
          <w:rFonts w:ascii="Arial" w:hAnsi="Arial" w:cs="Arial"/>
        </w:rPr>
        <w:t>.</w:t>
      </w:r>
    </w:p>
    <w:p w14:paraId="56FE601E" w14:textId="77777777" w:rsidR="007D21CD" w:rsidRPr="00F26752" w:rsidRDefault="007D21CD" w:rsidP="00997B4E">
      <w:pPr>
        <w:pStyle w:val="ListParagraph"/>
        <w:numPr>
          <w:ilvl w:val="2"/>
          <w:numId w:val="5"/>
        </w:numPr>
        <w:spacing w:after="120"/>
        <w:contextualSpacing w:val="0"/>
        <w:jc w:val="both"/>
        <w:rPr>
          <w:rFonts w:ascii="Arial" w:hAnsi="Arial" w:cs="Arial"/>
        </w:rPr>
      </w:pPr>
      <w:r w:rsidRPr="00F26752">
        <w:rPr>
          <w:rFonts w:ascii="Arial" w:hAnsi="Arial" w:cs="Arial"/>
        </w:rPr>
        <w:t xml:space="preserve">A value of the net benefits obtained by comparing </w:t>
      </w:r>
      <w:r w:rsidR="00AE1C12" w:rsidRPr="00F26752">
        <w:rPr>
          <w:rFonts w:ascii="Arial" w:hAnsi="Arial" w:cs="Arial"/>
        </w:rPr>
        <w:t xml:space="preserve">the </w:t>
      </w:r>
      <w:r w:rsidR="001A43BB">
        <w:rPr>
          <w:rFonts w:ascii="Arial" w:hAnsi="Arial" w:cs="Arial"/>
        </w:rPr>
        <w:t>costs savings</w:t>
      </w:r>
      <w:r w:rsidR="00AE1C12" w:rsidRPr="00F26752">
        <w:rPr>
          <w:rFonts w:ascii="Arial" w:hAnsi="Arial" w:cs="Arial"/>
        </w:rPr>
        <w:t xml:space="preserve"> of investing in </w:t>
      </w:r>
      <w:r w:rsidR="001A43BB">
        <w:rPr>
          <w:rFonts w:ascii="Arial" w:hAnsi="Arial" w:cs="Arial"/>
        </w:rPr>
        <w:t>RE</w:t>
      </w:r>
      <w:r w:rsidR="00AE1C12" w:rsidRPr="00F26752">
        <w:rPr>
          <w:rFonts w:ascii="Arial" w:hAnsi="Arial" w:cs="Arial"/>
        </w:rPr>
        <w:t xml:space="preserve"> </w:t>
      </w:r>
      <w:r w:rsidR="001A43BB">
        <w:rPr>
          <w:rFonts w:ascii="Arial" w:hAnsi="Arial" w:cs="Arial"/>
        </w:rPr>
        <w:t xml:space="preserve">instead of diesel plants and by calculating </w:t>
      </w:r>
      <w:r w:rsidR="00345446">
        <w:rPr>
          <w:rFonts w:ascii="Arial" w:hAnsi="Arial" w:cs="Arial"/>
        </w:rPr>
        <w:t>the net present value</w:t>
      </w:r>
      <w:r w:rsidR="00B31A64">
        <w:rPr>
          <w:rFonts w:ascii="Arial" w:hAnsi="Arial" w:cs="Arial"/>
        </w:rPr>
        <w:t xml:space="preserve"> of CO2 emi</w:t>
      </w:r>
      <w:r w:rsidR="00A6178B">
        <w:rPr>
          <w:rFonts w:ascii="Arial" w:hAnsi="Arial" w:cs="Arial"/>
        </w:rPr>
        <w:t>ssions reduced by RE generation.</w:t>
      </w:r>
      <w:r w:rsidR="00B31A64">
        <w:rPr>
          <w:rFonts w:ascii="Arial" w:hAnsi="Arial" w:cs="Arial"/>
        </w:rPr>
        <w:t xml:space="preserve"> </w:t>
      </w:r>
      <w:r w:rsidR="00A6178B">
        <w:rPr>
          <w:rFonts w:ascii="Arial" w:hAnsi="Arial" w:cs="Arial"/>
        </w:rPr>
        <w:t>T</w:t>
      </w:r>
      <w:r w:rsidR="00A6178B" w:rsidRPr="00F26752">
        <w:rPr>
          <w:rFonts w:ascii="Arial" w:hAnsi="Arial" w:cs="Arial"/>
        </w:rPr>
        <w:t>hese</w:t>
      </w:r>
      <w:r w:rsidR="00BA328C" w:rsidRPr="00F26752">
        <w:rPr>
          <w:rFonts w:ascii="Arial" w:hAnsi="Arial" w:cs="Arial"/>
        </w:rPr>
        <w:t xml:space="preserve"> benefits are measured during a period of </w:t>
      </w:r>
      <w:r w:rsidR="00B31A64">
        <w:rPr>
          <w:rFonts w:ascii="Arial" w:hAnsi="Arial" w:cs="Arial"/>
        </w:rPr>
        <w:t>25 years (</w:t>
      </w:r>
      <w:r w:rsidR="00BA328C" w:rsidRPr="00F26752">
        <w:rPr>
          <w:rFonts w:ascii="Arial" w:hAnsi="Arial" w:cs="Arial"/>
        </w:rPr>
        <w:t>which is the estimated lifetime of projects financed by the program) and discounted at a rate of 12%.</w:t>
      </w:r>
      <w:r w:rsidR="00AE1C12" w:rsidRPr="00F26752">
        <w:rPr>
          <w:rFonts w:ascii="Arial" w:hAnsi="Arial" w:cs="Arial"/>
        </w:rPr>
        <w:t xml:space="preserve"> </w:t>
      </w:r>
    </w:p>
    <w:p w14:paraId="77BA3357" w14:textId="77777777" w:rsidR="000C69C8" w:rsidRPr="00F26752" w:rsidRDefault="000C69C8" w:rsidP="00997B4E">
      <w:pPr>
        <w:pStyle w:val="ListParagraph"/>
        <w:numPr>
          <w:ilvl w:val="1"/>
          <w:numId w:val="5"/>
        </w:numPr>
        <w:spacing w:after="120"/>
        <w:contextualSpacing w:val="0"/>
        <w:jc w:val="both"/>
        <w:rPr>
          <w:rFonts w:ascii="Arial" w:hAnsi="Arial" w:cs="Arial"/>
        </w:rPr>
      </w:pPr>
      <w:r w:rsidRPr="00F26752">
        <w:rPr>
          <w:rFonts w:ascii="Arial" w:hAnsi="Arial" w:cs="Arial"/>
        </w:rPr>
        <w:t xml:space="preserve">The </w:t>
      </w:r>
      <w:r w:rsidR="0040027A">
        <w:rPr>
          <w:rFonts w:ascii="Arial" w:hAnsi="Arial" w:cs="Arial"/>
        </w:rPr>
        <w:t>main elements of the analysis are the following</w:t>
      </w:r>
      <w:r w:rsidRPr="00F26752">
        <w:rPr>
          <w:rFonts w:ascii="Arial" w:hAnsi="Arial" w:cs="Arial"/>
        </w:rPr>
        <w:t>:</w:t>
      </w:r>
    </w:p>
    <w:p w14:paraId="3D5085A5" w14:textId="77777777" w:rsidR="00B26F7F" w:rsidRDefault="0040027A" w:rsidP="00B26F7F">
      <w:pPr>
        <w:pStyle w:val="ListParagraph"/>
        <w:numPr>
          <w:ilvl w:val="2"/>
          <w:numId w:val="5"/>
        </w:numPr>
        <w:spacing w:after="120"/>
        <w:jc w:val="both"/>
        <w:rPr>
          <w:rFonts w:ascii="Arial" w:hAnsi="Arial" w:cs="Arial"/>
        </w:rPr>
      </w:pPr>
      <w:r>
        <w:rPr>
          <w:rFonts w:ascii="Arial" w:hAnsi="Arial" w:cs="Arial"/>
          <w:b/>
        </w:rPr>
        <w:t>Cost Savings</w:t>
      </w:r>
      <w:r w:rsidR="000C69C8" w:rsidRPr="00F26752">
        <w:rPr>
          <w:rFonts w:ascii="Arial" w:hAnsi="Arial" w:cs="Arial"/>
        </w:rPr>
        <w:t xml:space="preserve">. </w:t>
      </w:r>
      <w:r>
        <w:rPr>
          <w:rFonts w:ascii="Arial" w:hAnsi="Arial" w:cs="Arial"/>
        </w:rPr>
        <w:t xml:space="preserve"> </w:t>
      </w:r>
      <w:r w:rsidR="00B26F7F" w:rsidRPr="00B26F7F">
        <w:rPr>
          <w:rFonts w:ascii="Arial" w:hAnsi="Arial" w:cs="Arial"/>
        </w:rPr>
        <w:t>One of the benefits of the program will come from the costs savings that the investment in renewable energy will represent in the long run. The Colombia government has designed a subsidies scheme that will compensate the energy operators for their generation costs using diesel as a reference. This means that whether an operator produces with diesel or with other sources of energy, it will be compensated as if the electricity was generated with diesel. This opens the possibility for the operators to look for alternative technologies with lesser generation costs that will allow them to increase their profits in the long run.</w:t>
      </w:r>
    </w:p>
    <w:p w14:paraId="5523DA4A" w14:textId="77777777" w:rsidR="00B26F7F" w:rsidRPr="00B26F7F" w:rsidRDefault="00B26F7F" w:rsidP="00B26F7F">
      <w:pPr>
        <w:pStyle w:val="ListParagraph"/>
        <w:spacing w:after="120"/>
        <w:ind w:left="1080"/>
        <w:jc w:val="both"/>
        <w:rPr>
          <w:rFonts w:ascii="Arial" w:hAnsi="Arial" w:cs="Arial"/>
        </w:rPr>
      </w:pPr>
    </w:p>
    <w:p w14:paraId="5B7A306F" w14:textId="77777777" w:rsidR="00B26F7F" w:rsidRDefault="00B26F7F" w:rsidP="00B26F7F">
      <w:pPr>
        <w:pStyle w:val="ListParagraph"/>
        <w:spacing w:after="120"/>
        <w:ind w:left="1080"/>
        <w:jc w:val="both"/>
        <w:rPr>
          <w:rFonts w:ascii="Arial" w:hAnsi="Arial" w:cs="Arial"/>
        </w:rPr>
      </w:pPr>
      <w:r w:rsidRPr="00B26F7F">
        <w:rPr>
          <w:rFonts w:ascii="Arial" w:hAnsi="Arial" w:cs="Arial"/>
        </w:rPr>
        <w:t>For the purpose of this evaluation, this implies that the private benefits of the program will not come from an increase in revenues from using renewable energy sources, but for a decrease in the operational costs that in the long run will make this option more attractive. This is because whether the operators produce with diesel or renewable energy, they will always be compensated in the same amount by the government. This implies that the projected flows of income in the scenario without project will be the same as in the scenario with project</w:t>
      </w:r>
      <w:r w:rsidR="00D72DC9">
        <w:rPr>
          <w:rStyle w:val="FootnoteReference"/>
          <w:rFonts w:ascii="Arial" w:hAnsi="Arial" w:cs="Arial"/>
        </w:rPr>
        <w:footnoteReference w:id="3"/>
      </w:r>
      <w:r w:rsidRPr="00B26F7F">
        <w:rPr>
          <w:rFonts w:ascii="Arial" w:hAnsi="Arial" w:cs="Arial"/>
        </w:rPr>
        <w:t xml:space="preserve">. For this reason this analysis will focus on the difference between the projected cost of the scenario without project and the scenario with project. </w:t>
      </w:r>
    </w:p>
    <w:p w14:paraId="79A0ED36" w14:textId="77777777" w:rsidR="00B26F7F" w:rsidRPr="00B26F7F" w:rsidRDefault="00B26F7F" w:rsidP="00B26F7F">
      <w:pPr>
        <w:pStyle w:val="ListParagraph"/>
        <w:spacing w:after="120"/>
        <w:ind w:left="1080"/>
        <w:jc w:val="both"/>
        <w:rPr>
          <w:rFonts w:ascii="Arial" w:hAnsi="Arial" w:cs="Arial"/>
        </w:rPr>
      </w:pPr>
    </w:p>
    <w:p w14:paraId="2DB9171F" w14:textId="77777777" w:rsidR="00B26F7F" w:rsidRPr="00B26F7F" w:rsidRDefault="00B26F7F" w:rsidP="00B26F7F">
      <w:pPr>
        <w:pStyle w:val="ListParagraph"/>
        <w:spacing w:after="120"/>
        <w:ind w:left="1080"/>
        <w:jc w:val="both"/>
        <w:rPr>
          <w:rFonts w:ascii="Arial" w:hAnsi="Arial" w:cs="Arial"/>
        </w:rPr>
      </w:pPr>
      <w:r w:rsidRPr="00B26F7F">
        <w:rPr>
          <w:rFonts w:ascii="Arial" w:hAnsi="Arial" w:cs="Arial"/>
        </w:rPr>
        <w:t xml:space="preserve">The costs are classified in this analysis as investment costs and operation and management (O&amp;M) costs. The investment costs include all the </w:t>
      </w:r>
      <w:r w:rsidRPr="00B26F7F">
        <w:rPr>
          <w:rFonts w:ascii="Arial" w:hAnsi="Arial" w:cs="Arial"/>
        </w:rPr>
        <w:lastRenderedPageBreak/>
        <w:t xml:space="preserve">expenses necessary to construct and start operating a power plant meanwhile O&amp;M are the annual costs incurred by the plants for operations and management expenses. </w:t>
      </w:r>
    </w:p>
    <w:p w14:paraId="30B8C652" w14:textId="77777777" w:rsidR="00A73627" w:rsidRPr="00F26752" w:rsidRDefault="00A73627" w:rsidP="00B26F7F">
      <w:pPr>
        <w:pStyle w:val="ListParagraph"/>
        <w:spacing w:after="120"/>
        <w:ind w:left="1080"/>
        <w:contextualSpacing w:val="0"/>
        <w:jc w:val="both"/>
        <w:rPr>
          <w:rFonts w:ascii="Arial" w:hAnsi="Arial" w:cs="Arial"/>
        </w:rPr>
      </w:pPr>
    </w:p>
    <w:p w14:paraId="3B9D0B43" w14:textId="77777777" w:rsidR="00B26F7F" w:rsidRDefault="00B26F7F" w:rsidP="00B26F7F">
      <w:pPr>
        <w:pStyle w:val="ListParagraph"/>
        <w:numPr>
          <w:ilvl w:val="2"/>
          <w:numId w:val="5"/>
        </w:numPr>
        <w:spacing w:after="120"/>
        <w:jc w:val="both"/>
        <w:rPr>
          <w:rFonts w:ascii="Arial" w:hAnsi="Arial" w:cs="Arial"/>
        </w:rPr>
      </w:pPr>
      <w:r>
        <w:rPr>
          <w:rFonts w:ascii="Arial" w:hAnsi="Arial" w:cs="Arial"/>
          <w:b/>
        </w:rPr>
        <w:t>Emissions reductions</w:t>
      </w:r>
      <w:r w:rsidR="00AA312B" w:rsidRPr="00F26752">
        <w:rPr>
          <w:rFonts w:ascii="Arial" w:hAnsi="Arial" w:cs="Arial"/>
          <w:b/>
        </w:rPr>
        <w:t xml:space="preserve">. </w:t>
      </w:r>
      <w:r w:rsidRPr="00B26F7F">
        <w:rPr>
          <w:rFonts w:ascii="Arial" w:hAnsi="Arial" w:cs="Arial"/>
        </w:rPr>
        <w:t>The environmental benefits of the project will come from the reduction in Greenhouse gas emissions that the project will originate. Considering that 97% of actual electricity production comes from diesel engines</w:t>
      </w:r>
      <w:r w:rsidR="00863E30">
        <w:rPr>
          <w:rStyle w:val="FootnoteReference"/>
          <w:rFonts w:ascii="Arial" w:hAnsi="Arial" w:cs="Arial"/>
        </w:rPr>
        <w:footnoteReference w:id="4"/>
      </w:r>
      <w:r w:rsidRPr="00B26F7F">
        <w:rPr>
          <w:rFonts w:ascii="Arial" w:hAnsi="Arial" w:cs="Arial"/>
        </w:rPr>
        <w:t xml:space="preserve">, the new renewable energy installed capacity will partially replace either current or planned diesel generation for the ZNIs for the life span of the project. </w:t>
      </w:r>
    </w:p>
    <w:p w14:paraId="12C5CA28" w14:textId="77777777" w:rsidR="00B26F7F" w:rsidRPr="00B26F7F" w:rsidRDefault="00B26F7F" w:rsidP="00B26F7F">
      <w:pPr>
        <w:pStyle w:val="ListParagraph"/>
        <w:spacing w:after="120"/>
        <w:ind w:left="1080"/>
        <w:jc w:val="both"/>
        <w:rPr>
          <w:rFonts w:ascii="Arial" w:hAnsi="Arial" w:cs="Arial"/>
        </w:rPr>
      </w:pPr>
    </w:p>
    <w:p w14:paraId="48E91894" w14:textId="77777777" w:rsidR="00B26F7F" w:rsidRPr="00B26F7F" w:rsidRDefault="00B26F7F" w:rsidP="00B26F7F">
      <w:pPr>
        <w:pStyle w:val="ListParagraph"/>
        <w:spacing w:after="120"/>
        <w:ind w:left="1080"/>
        <w:jc w:val="both"/>
        <w:rPr>
          <w:rFonts w:ascii="Arial" w:hAnsi="Arial" w:cs="Arial"/>
        </w:rPr>
      </w:pPr>
      <w:r w:rsidRPr="00B26F7F">
        <w:rPr>
          <w:rFonts w:ascii="Arial" w:hAnsi="Arial" w:cs="Arial"/>
        </w:rPr>
        <w:t>The emissions are measured in metric tons of CO2 equivalent utilizing electricity generation data, emissions factor for diesel generators, and the market price for carbon.</w:t>
      </w:r>
    </w:p>
    <w:p w14:paraId="3160BA83" w14:textId="77777777" w:rsidR="004F00A4" w:rsidRPr="00F26752" w:rsidRDefault="004F00A4" w:rsidP="00B26F7F">
      <w:pPr>
        <w:pStyle w:val="ListParagraph"/>
        <w:spacing w:after="120"/>
        <w:ind w:left="1080"/>
        <w:contextualSpacing w:val="0"/>
        <w:jc w:val="both"/>
        <w:rPr>
          <w:rFonts w:ascii="Arial" w:hAnsi="Arial" w:cs="Arial"/>
        </w:rPr>
      </w:pPr>
    </w:p>
    <w:p w14:paraId="66DFF7C6" w14:textId="77777777" w:rsidR="00A73627" w:rsidRPr="00F26752" w:rsidRDefault="00B26F7F" w:rsidP="00997B4E">
      <w:pPr>
        <w:pStyle w:val="ListParagraph"/>
        <w:numPr>
          <w:ilvl w:val="2"/>
          <w:numId w:val="5"/>
        </w:numPr>
        <w:spacing w:after="120"/>
        <w:contextualSpacing w:val="0"/>
        <w:jc w:val="both"/>
        <w:rPr>
          <w:rFonts w:ascii="Arial" w:hAnsi="Arial" w:cs="Arial"/>
        </w:rPr>
      </w:pPr>
      <w:r>
        <w:rPr>
          <w:rFonts w:ascii="Arial" w:hAnsi="Arial" w:cs="Arial"/>
          <w:b/>
        </w:rPr>
        <w:t>Counterfactual scenario</w:t>
      </w:r>
      <w:r w:rsidR="00144CDC" w:rsidRPr="00F26752">
        <w:rPr>
          <w:rFonts w:ascii="Arial" w:hAnsi="Arial" w:cs="Arial"/>
        </w:rPr>
        <w:t>.</w:t>
      </w:r>
      <w:r>
        <w:rPr>
          <w:rFonts w:ascii="Arial" w:hAnsi="Arial" w:cs="Arial"/>
        </w:rPr>
        <w:t xml:space="preserve"> </w:t>
      </w:r>
      <w:r w:rsidRPr="00B26F7F">
        <w:rPr>
          <w:rFonts w:ascii="Arial" w:hAnsi="Arial" w:cs="Arial"/>
        </w:rPr>
        <w:t xml:space="preserve">As a counterfactual, we define </w:t>
      </w:r>
      <w:proofErr w:type="gramStart"/>
      <w:r w:rsidRPr="00B26F7F">
        <w:rPr>
          <w:rFonts w:ascii="Arial" w:hAnsi="Arial" w:cs="Arial"/>
        </w:rPr>
        <w:t>an</w:t>
      </w:r>
      <w:proofErr w:type="gramEnd"/>
      <w:r w:rsidRPr="00B26F7F">
        <w:rPr>
          <w:rFonts w:ascii="Arial" w:hAnsi="Arial" w:cs="Arial"/>
        </w:rPr>
        <w:t xml:space="preserve"> scenario in which the projected electricity demand</w:t>
      </w:r>
      <w:r w:rsidR="000D5480">
        <w:rPr>
          <w:rStyle w:val="FootnoteReference"/>
          <w:rFonts w:ascii="Arial" w:hAnsi="Arial" w:cs="Arial"/>
        </w:rPr>
        <w:footnoteReference w:id="5"/>
      </w:r>
      <w:r w:rsidRPr="00B26F7F">
        <w:rPr>
          <w:rFonts w:ascii="Arial" w:hAnsi="Arial" w:cs="Arial"/>
        </w:rPr>
        <w:t xml:space="preserve"> in ZNIs will be met by investments in power generation that will maintain the current distribution of generation technologies: 97% diesel 3% renewable. Hence, the costs and emissions associated with this distribution of technologies will be the benchmark against which we will compare the cos</w:t>
      </w:r>
      <w:r w:rsidR="0057719F">
        <w:rPr>
          <w:rFonts w:ascii="Arial" w:hAnsi="Arial" w:cs="Arial"/>
        </w:rPr>
        <w:t>ts and emissions of the program</w:t>
      </w:r>
      <w:r w:rsidR="00144CDC" w:rsidRPr="00F26752">
        <w:rPr>
          <w:rFonts w:ascii="Arial" w:hAnsi="Arial" w:cs="Arial"/>
        </w:rPr>
        <w:t>.</w:t>
      </w:r>
    </w:p>
    <w:p w14:paraId="39314C02" w14:textId="77777777" w:rsidR="00BD10CA" w:rsidRPr="00F26752" w:rsidRDefault="00BD10CA" w:rsidP="00997B4E">
      <w:pPr>
        <w:pStyle w:val="ListParagraph"/>
        <w:numPr>
          <w:ilvl w:val="1"/>
          <w:numId w:val="5"/>
        </w:numPr>
        <w:spacing w:after="120"/>
        <w:contextualSpacing w:val="0"/>
        <w:jc w:val="both"/>
        <w:rPr>
          <w:rFonts w:ascii="Arial" w:hAnsi="Arial" w:cs="Arial"/>
        </w:rPr>
      </w:pPr>
      <w:r w:rsidRPr="00F26752">
        <w:rPr>
          <w:rFonts w:ascii="Arial" w:hAnsi="Arial" w:cs="Arial"/>
        </w:rPr>
        <w:t xml:space="preserve">The cash flows of </w:t>
      </w:r>
      <w:r w:rsidR="00CE62CC">
        <w:rPr>
          <w:rFonts w:ascii="Arial" w:hAnsi="Arial" w:cs="Arial"/>
        </w:rPr>
        <w:t>costs savings and emissions reduced</w:t>
      </w:r>
      <w:r w:rsidRPr="00F26752">
        <w:rPr>
          <w:rFonts w:ascii="Arial" w:hAnsi="Arial" w:cs="Arial"/>
        </w:rPr>
        <w:t xml:space="preserve">, as detailed above, are then discounted at a rate of 12% (standard for IDB programs) in order to obtain their Net Present Value (NPV). </w:t>
      </w:r>
    </w:p>
    <w:p w14:paraId="333DC3D7" w14:textId="77777777" w:rsidR="00BD10CA" w:rsidRPr="00F26752" w:rsidRDefault="00BF6B09" w:rsidP="00997B4E">
      <w:pPr>
        <w:pStyle w:val="ListParagraph"/>
        <w:numPr>
          <w:ilvl w:val="1"/>
          <w:numId w:val="5"/>
        </w:numPr>
        <w:spacing w:after="120"/>
        <w:contextualSpacing w:val="0"/>
        <w:jc w:val="both"/>
        <w:rPr>
          <w:rFonts w:ascii="Arial" w:hAnsi="Arial" w:cs="Arial"/>
        </w:rPr>
      </w:pPr>
      <w:r w:rsidRPr="00F26752">
        <w:rPr>
          <w:rFonts w:ascii="Arial" w:hAnsi="Arial" w:cs="Arial"/>
        </w:rPr>
        <w:t>Fi</w:t>
      </w:r>
      <w:r w:rsidR="00B853D9" w:rsidRPr="00F26752">
        <w:rPr>
          <w:rFonts w:ascii="Arial" w:hAnsi="Arial" w:cs="Arial"/>
        </w:rPr>
        <w:t>nally, this document includes a</w:t>
      </w:r>
      <w:r w:rsidRPr="00F26752">
        <w:rPr>
          <w:rFonts w:ascii="Arial" w:hAnsi="Arial" w:cs="Arial"/>
        </w:rPr>
        <w:t xml:space="preserve"> sensitivity analysis. This analysis is performed considering independent variations in </w:t>
      </w:r>
      <w:r w:rsidR="00CE62CC">
        <w:rPr>
          <w:rFonts w:ascii="Arial" w:hAnsi="Arial" w:cs="Arial"/>
        </w:rPr>
        <w:t>two</w:t>
      </w:r>
      <w:r w:rsidRPr="00F26752">
        <w:rPr>
          <w:rFonts w:ascii="Arial" w:hAnsi="Arial" w:cs="Arial"/>
        </w:rPr>
        <w:t xml:space="preserve"> criteria: </w:t>
      </w:r>
      <w:r w:rsidR="00F26752" w:rsidRPr="00F26752">
        <w:rPr>
          <w:rFonts w:ascii="Arial" w:hAnsi="Arial" w:cs="Arial"/>
        </w:rPr>
        <w:t>(</w:t>
      </w:r>
      <w:proofErr w:type="spellStart"/>
      <w:r w:rsidRPr="00F26752">
        <w:rPr>
          <w:rFonts w:ascii="Arial" w:hAnsi="Arial" w:cs="Arial"/>
        </w:rPr>
        <w:t>i</w:t>
      </w:r>
      <w:proofErr w:type="spellEnd"/>
      <w:r w:rsidRPr="00F26752">
        <w:rPr>
          <w:rFonts w:ascii="Arial" w:hAnsi="Arial" w:cs="Arial"/>
        </w:rPr>
        <w:t xml:space="preserve">) </w:t>
      </w:r>
      <w:r w:rsidR="00CE62CC">
        <w:rPr>
          <w:rFonts w:ascii="Arial" w:hAnsi="Arial" w:cs="Arial"/>
        </w:rPr>
        <w:t xml:space="preserve">O&amp;M </w:t>
      </w:r>
      <w:r w:rsidR="00205C2F" w:rsidRPr="00F26752">
        <w:rPr>
          <w:rFonts w:ascii="Arial" w:hAnsi="Arial" w:cs="Arial"/>
        </w:rPr>
        <w:t xml:space="preserve">costs for </w:t>
      </w:r>
      <w:r w:rsidR="00CE62CC">
        <w:rPr>
          <w:rFonts w:ascii="Arial" w:hAnsi="Arial" w:cs="Arial"/>
        </w:rPr>
        <w:t>diesel and renewable generation</w:t>
      </w:r>
      <w:r w:rsidR="00205C2F" w:rsidRPr="00F26752">
        <w:rPr>
          <w:rFonts w:ascii="Arial" w:hAnsi="Arial" w:cs="Arial"/>
        </w:rPr>
        <w:t xml:space="preserve"> plants, and </w:t>
      </w:r>
      <w:r w:rsidR="00F26752" w:rsidRPr="00F26752">
        <w:rPr>
          <w:rFonts w:ascii="Arial" w:hAnsi="Arial" w:cs="Arial"/>
        </w:rPr>
        <w:t>(</w:t>
      </w:r>
      <w:r w:rsidR="00205C2F" w:rsidRPr="00F26752">
        <w:rPr>
          <w:rFonts w:ascii="Arial" w:hAnsi="Arial" w:cs="Arial"/>
        </w:rPr>
        <w:t xml:space="preserve">iii) </w:t>
      </w:r>
      <w:r w:rsidR="00CE62CC">
        <w:rPr>
          <w:rFonts w:ascii="Arial" w:hAnsi="Arial" w:cs="Arial"/>
        </w:rPr>
        <w:t>distribution of renewable energies in the project</w:t>
      </w:r>
      <w:r w:rsidR="00205C2F" w:rsidRPr="00F26752">
        <w:rPr>
          <w:rFonts w:ascii="Arial" w:hAnsi="Arial" w:cs="Arial"/>
        </w:rPr>
        <w:t>.</w:t>
      </w:r>
    </w:p>
    <w:p w14:paraId="638EE426" w14:textId="77777777" w:rsidR="00261332" w:rsidRPr="00F26752" w:rsidRDefault="00261332" w:rsidP="00997B4E">
      <w:pPr>
        <w:pStyle w:val="ListParagraph"/>
        <w:spacing w:after="120"/>
        <w:contextualSpacing w:val="0"/>
        <w:jc w:val="both"/>
        <w:rPr>
          <w:rFonts w:ascii="Arial" w:hAnsi="Arial" w:cs="Arial"/>
        </w:rPr>
      </w:pPr>
    </w:p>
    <w:p w14:paraId="7BD365DC" w14:textId="77777777" w:rsidR="00261332" w:rsidRPr="00F26752" w:rsidRDefault="00261332" w:rsidP="00997B4E">
      <w:pPr>
        <w:pStyle w:val="ListParagraph"/>
        <w:numPr>
          <w:ilvl w:val="0"/>
          <w:numId w:val="11"/>
        </w:numPr>
        <w:spacing w:after="120"/>
        <w:contextualSpacing w:val="0"/>
        <w:jc w:val="both"/>
        <w:rPr>
          <w:rFonts w:ascii="Arial" w:hAnsi="Arial" w:cs="Arial"/>
          <w:b/>
        </w:rPr>
      </w:pPr>
      <w:r w:rsidRPr="00F26752">
        <w:rPr>
          <w:rFonts w:ascii="Arial" w:hAnsi="Arial" w:cs="Arial"/>
          <w:b/>
        </w:rPr>
        <w:t>Assumptions</w:t>
      </w:r>
    </w:p>
    <w:p w14:paraId="77F7A3E0" w14:textId="77777777" w:rsidR="00160AA2" w:rsidRPr="00F26752" w:rsidRDefault="00902ABF" w:rsidP="00997B4E">
      <w:pPr>
        <w:pStyle w:val="ListParagraph"/>
        <w:numPr>
          <w:ilvl w:val="1"/>
          <w:numId w:val="5"/>
        </w:numPr>
        <w:spacing w:after="120"/>
        <w:contextualSpacing w:val="0"/>
        <w:jc w:val="both"/>
        <w:rPr>
          <w:rFonts w:ascii="Arial" w:hAnsi="Arial" w:cs="Arial"/>
        </w:rPr>
      </w:pPr>
      <w:r w:rsidRPr="00F26752">
        <w:rPr>
          <w:rFonts w:ascii="Arial" w:hAnsi="Arial" w:cs="Arial"/>
        </w:rPr>
        <w:t xml:space="preserve">The main assumptions for the estimation of </w:t>
      </w:r>
      <w:r w:rsidR="00C82DE1">
        <w:rPr>
          <w:rFonts w:ascii="Arial" w:hAnsi="Arial" w:cs="Arial"/>
        </w:rPr>
        <w:t>the cost-benefit</w:t>
      </w:r>
      <w:r w:rsidRPr="00F26752">
        <w:rPr>
          <w:rFonts w:ascii="Arial" w:hAnsi="Arial" w:cs="Arial"/>
        </w:rPr>
        <w:t xml:space="preserve"> of this project are:</w:t>
      </w:r>
      <w:r w:rsidR="00160AA2" w:rsidRPr="00F26752">
        <w:rPr>
          <w:rFonts w:ascii="Arial" w:hAnsi="Arial" w:cs="Arial"/>
        </w:rPr>
        <w:t xml:space="preserve"> </w:t>
      </w:r>
    </w:p>
    <w:p w14:paraId="7256CB6C" w14:textId="77777777" w:rsidR="00902ABF" w:rsidRPr="00F26752" w:rsidRDefault="00902ABF" w:rsidP="00997B4E">
      <w:pPr>
        <w:pStyle w:val="ListParagraph"/>
        <w:spacing w:after="120"/>
        <w:contextualSpacing w:val="0"/>
        <w:jc w:val="both"/>
        <w:rPr>
          <w:rFonts w:ascii="Arial" w:hAnsi="Arial" w:cs="Arial"/>
          <w:b/>
          <w:i/>
          <w:u w:val="single"/>
        </w:rPr>
      </w:pPr>
      <w:r w:rsidRPr="00F26752">
        <w:rPr>
          <w:rFonts w:ascii="Arial" w:hAnsi="Arial" w:cs="Arial"/>
          <w:b/>
          <w:i/>
          <w:u w:val="single"/>
        </w:rPr>
        <w:t xml:space="preserve">Energy </w:t>
      </w:r>
      <w:r w:rsidR="005405D5">
        <w:rPr>
          <w:rFonts w:ascii="Arial" w:hAnsi="Arial" w:cs="Arial"/>
          <w:b/>
          <w:i/>
          <w:u w:val="single"/>
        </w:rPr>
        <w:t xml:space="preserve">Demand </w:t>
      </w:r>
      <w:r w:rsidRPr="00F26752">
        <w:rPr>
          <w:rFonts w:ascii="Arial" w:hAnsi="Arial" w:cs="Arial"/>
          <w:b/>
          <w:i/>
          <w:u w:val="single"/>
        </w:rPr>
        <w:t>Assumptions</w:t>
      </w:r>
    </w:p>
    <w:p w14:paraId="06C6E29A" w14:textId="77777777" w:rsidR="00EA743C" w:rsidRPr="00EA743C" w:rsidRDefault="00EA743C" w:rsidP="00EA743C">
      <w:pPr>
        <w:pStyle w:val="ListParagraph"/>
        <w:spacing w:after="120"/>
        <w:ind w:left="1080"/>
        <w:contextualSpacing w:val="0"/>
        <w:jc w:val="both"/>
        <w:rPr>
          <w:rFonts w:ascii="Arial" w:hAnsi="Arial" w:cs="Arial"/>
        </w:rPr>
      </w:pPr>
      <w:r>
        <w:rPr>
          <w:rFonts w:ascii="Arial" w:hAnsi="Arial" w:cs="Arial"/>
        </w:rPr>
        <w:t xml:space="preserve">The projected energy demand is the basis of the estimation of investments </w:t>
      </w:r>
      <w:proofErr w:type="gramStart"/>
      <w:r>
        <w:rPr>
          <w:rFonts w:ascii="Arial" w:hAnsi="Arial" w:cs="Arial"/>
        </w:rPr>
        <w:t>required,</w:t>
      </w:r>
      <w:proofErr w:type="gramEnd"/>
      <w:r>
        <w:rPr>
          <w:rFonts w:ascii="Arial" w:hAnsi="Arial" w:cs="Arial"/>
        </w:rPr>
        <w:t xml:space="preserve"> projected costs and projected emissions for the scenario with project and without project. For the estimation of the demand of energy the following assumptions are considered:</w:t>
      </w:r>
    </w:p>
    <w:p w14:paraId="16EFE4DF" w14:textId="2784C9F4" w:rsidR="00261332" w:rsidRPr="00F26752" w:rsidRDefault="00C82DE1" w:rsidP="00997B4E">
      <w:pPr>
        <w:pStyle w:val="ListParagraph"/>
        <w:numPr>
          <w:ilvl w:val="2"/>
          <w:numId w:val="5"/>
        </w:numPr>
        <w:spacing w:after="120"/>
        <w:contextualSpacing w:val="0"/>
        <w:jc w:val="both"/>
        <w:rPr>
          <w:rFonts w:ascii="Arial" w:hAnsi="Arial" w:cs="Arial"/>
        </w:rPr>
      </w:pPr>
      <w:r>
        <w:rPr>
          <w:rFonts w:ascii="Arial" w:hAnsi="Arial" w:cs="Arial"/>
          <w:b/>
        </w:rPr>
        <w:lastRenderedPageBreak/>
        <w:t>Feasible Beneficiaries</w:t>
      </w:r>
      <w:r w:rsidR="00902ABF" w:rsidRPr="00F26752">
        <w:rPr>
          <w:rFonts w:ascii="Arial" w:hAnsi="Arial" w:cs="Arial"/>
        </w:rPr>
        <w:t xml:space="preserve">. </w:t>
      </w:r>
      <w:r>
        <w:rPr>
          <w:rFonts w:ascii="Arial" w:hAnsi="Arial" w:cs="Arial"/>
        </w:rPr>
        <w:t>This analysis follows the target group defined in the Energy Demand Study</w:t>
      </w:r>
      <w:r w:rsidR="003C3EAD">
        <w:rPr>
          <w:rStyle w:val="FootnoteReference"/>
          <w:rFonts w:ascii="Arial" w:hAnsi="Arial" w:cs="Arial"/>
        </w:rPr>
        <w:footnoteReference w:id="6"/>
      </w:r>
      <w:r w:rsidR="00E40CC5" w:rsidRPr="00F26752">
        <w:rPr>
          <w:rFonts w:ascii="Arial" w:hAnsi="Arial" w:cs="Arial"/>
        </w:rPr>
        <w:t>.</w:t>
      </w:r>
      <w:r w:rsidR="003C3EAD">
        <w:rPr>
          <w:rFonts w:ascii="Arial" w:hAnsi="Arial" w:cs="Arial"/>
        </w:rPr>
        <w:t xml:space="preserve"> This study consider</w:t>
      </w:r>
      <w:r w:rsidR="00A77AE0">
        <w:rPr>
          <w:rFonts w:ascii="Arial" w:hAnsi="Arial" w:cs="Arial"/>
        </w:rPr>
        <w:t>s</w:t>
      </w:r>
      <w:r w:rsidR="003C3EAD">
        <w:rPr>
          <w:rFonts w:ascii="Arial" w:hAnsi="Arial" w:cs="Arial"/>
        </w:rPr>
        <w:t xml:space="preserve"> as most likely of being </w:t>
      </w:r>
      <w:r w:rsidR="00757F52">
        <w:rPr>
          <w:rFonts w:ascii="Arial" w:hAnsi="Arial" w:cs="Arial"/>
        </w:rPr>
        <w:t>eligible</w:t>
      </w:r>
      <w:r w:rsidR="003C3EAD">
        <w:rPr>
          <w:rFonts w:ascii="Arial" w:hAnsi="Arial" w:cs="Arial"/>
        </w:rPr>
        <w:t xml:space="preserve"> for financing, a group of energy operators t</w:t>
      </w:r>
      <w:r w:rsidR="00A77AE0">
        <w:rPr>
          <w:rFonts w:ascii="Arial" w:hAnsi="Arial" w:cs="Arial"/>
        </w:rPr>
        <w:t xml:space="preserve">hat currently </w:t>
      </w:r>
      <w:r w:rsidR="007358A0">
        <w:rPr>
          <w:rFonts w:ascii="Arial" w:hAnsi="Arial" w:cs="Arial"/>
        </w:rPr>
        <w:t>possess</w:t>
      </w:r>
      <w:r w:rsidR="00A77AE0">
        <w:rPr>
          <w:rFonts w:ascii="Arial" w:hAnsi="Arial" w:cs="Arial"/>
        </w:rPr>
        <w:t xml:space="preserve"> more </w:t>
      </w:r>
      <w:r w:rsidR="007358A0">
        <w:rPr>
          <w:rFonts w:ascii="Arial" w:hAnsi="Arial" w:cs="Arial"/>
        </w:rPr>
        <w:t>than</w:t>
      </w:r>
      <w:r w:rsidR="00A77AE0">
        <w:rPr>
          <w:rFonts w:ascii="Arial" w:hAnsi="Arial" w:cs="Arial"/>
        </w:rPr>
        <w:t xml:space="preserve"> 0.5 MW of installed capacity </w:t>
      </w:r>
      <w:r w:rsidR="00757F52">
        <w:rPr>
          <w:rFonts w:ascii="Arial" w:hAnsi="Arial" w:cs="Arial"/>
        </w:rPr>
        <w:t xml:space="preserve">each one </w:t>
      </w:r>
      <w:r w:rsidR="00A77AE0">
        <w:rPr>
          <w:rFonts w:ascii="Arial" w:hAnsi="Arial" w:cs="Arial"/>
        </w:rPr>
        <w:t>in ZNIs. The projected demand of energy is based on data reported for this group.</w:t>
      </w:r>
      <w:r w:rsidR="003C3EAD">
        <w:rPr>
          <w:rFonts w:ascii="Arial" w:hAnsi="Arial" w:cs="Arial"/>
        </w:rPr>
        <w:t xml:space="preserve"> </w:t>
      </w:r>
    </w:p>
    <w:p w14:paraId="0C2BF7F6" w14:textId="77777777" w:rsidR="002E0F62" w:rsidRPr="00F26752" w:rsidRDefault="00A77AE0" w:rsidP="00997B4E">
      <w:pPr>
        <w:pStyle w:val="ListParagraph"/>
        <w:numPr>
          <w:ilvl w:val="2"/>
          <w:numId w:val="5"/>
        </w:numPr>
        <w:spacing w:after="120"/>
        <w:contextualSpacing w:val="0"/>
        <w:jc w:val="both"/>
        <w:rPr>
          <w:rFonts w:ascii="Arial" w:hAnsi="Arial" w:cs="Arial"/>
        </w:rPr>
      </w:pPr>
      <w:r>
        <w:rPr>
          <w:rFonts w:ascii="Arial" w:hAnsi="Arial" w:cs="Arial"/>
          <w:b/>
        </w:rPr>
        <w:t>Current Installed Capacity</w:t>
      </w:r>
      <w:r w:rsidR="002E0F62" w:rsidRPr="00F26752">
        <w:rPr>
          <w:rFonts w:ascii="Arial" w:hAnsi="Arial" w:cs="Arial"/>
        </w:rPr>
        <w:t>.</w:t>
      </w:r>
      <w:r>
        <w:rPr>
          <w:rFonts w:ascii="Arial" w:hAnsi="Arial" w:cs="Arial"/>
        </w:rPr>
        <w:t xml:space="preserve"> The energy demand estimation starts from the reported </w:t>
      </w:r>
      <w:r w:rsidR="00757F52">
        <w:rPr>
          <w:rFonts w:ascii="Arial" w:hAnsi="Arial" w:cs="Arial"/>
        </w:rPr>
        <w:t>total installed capacity of 158 MW for the feasible group in the ZNIs in 2014</w:t>
      </w:r>
      <w:r w:rsidR="0096503B" w:rsidRPr="00F26752">
        <w:rPr>
          <w:rFonts w:ascii="Arial" w:hAnsi="Arial" w:cs="Arial"/>
        </w:rPr>
        <w:t>.</w:t>
      </w:r>
      <w:r w:rsidR="00757F52">
        <w:rPr>
          <w:rStyle w:val="FootnoteReference"/>
          <w:rFonts w:ascii="Arial" w:hAnsi="Arial" w:cs="Arial"/>
        </w:rPr>
        <w:footnoteReference w:id="7"/>
      </w:r>
    </w:p>
    <w:p w14:paraId="0DD44DA5" w14:textId="37FEDEAF" w:rsidR="0096503B" w:rsidRDefault="00757F52" w:rsidP="00997B4E">
      <w:pPr>
        <w:pStyle w:val="ListParagraph"/>
        <w:numPr>
          <w:ilvl w:val="2"/>
          <w:numId w:val="5"/>
        </w:numPr>
        <w:spacing w:after="120"/>
        <w:contextualSpacing w:val="0"/>
        <w:jc w:val="both"/>
        <w:rPr>
          <w:rFonts w:ascii="Arial" w:hAnsi="Arial" w:cs="Arial"/>
        </w:rPr>
      </w:pPr>
      <w:r>
        <w:rPr>
          <w:rFonts w:ascii="Arial" w:hAnsi="Arial" w:cs="Arial"/>
          <w:b/>
        </w:rPr>
        <w:t>Demand Growth</w:t>
      </w:r>
      <w:r w:rsidR="00F814B1" w:rsidRPr="00F26752">
        <w:rPr>
          <w:rFonts w:ascii="Arial" w:hAnsi="Arial" w:cs="Arial"/>
        </w:rPr>
        <w:t>.</w:t>
      </w:r>
      <w:r>
        <w:rPr>
          <w:rFonts w:ascii="Arial" w:hAnsi="Arial" w:cs="Arial"/>
        </w:rPr>
        <w:t xml:space="preserve"> The demand of installed capacity needed to satisfy energy consumption in the ZNIs is assumed </w:t>
      </w:r>
      <w:r w:rsidR="00AC0FC4">
        <w:rPr>
          <w:rFonts w:ascii="Arial" w:hAnsi="Arial" w:cs="Arial"/>
        </w:rPr>
        <w:t>to grow at the same rate as Colombia’s GDP</w:t>
      </w:r>
      <w:r w:rsidR="00FE0A8F">
        <w:rPr>
          <w:rStyle w:val="FootnoteReference"/>
          <w:rFonts w:ascii="Arial" w:hAnsi="Arial" w:cs="Arial"/>
        </w:rPr>
        <w:footnoteReference w:id="8"/>
      </w:r>
      <w:r w:rsidR="002F3406" w:rsidRPr="00F26752">
        <w:rPr>
          <w:rFonts w:ascii="Arial" w:hAnsi="Arial" w:cs="Arial"/>
        </w:rPr>
        <w:t>.</w:t>
      </w:r>
      <w:r w:rsidR="00AC0FC4">
        <w:rPr>
          <w:rFonts w:ascii="Arial" w:hAnsi="Arial" w:cs="Arial"/>
        </w:rPr>
        <w:t xml:space="preserve"> Hence, the projected GDP growth is used to estimate the demand growth. </w:t>
      </w:r>
    </w:p>
    <w:p w14:paraId="24B36C0A" w14:textId="77777777" w:rsidR="00504D1A" w:rsidRDefault="00504D1A" w:rsidP="00997B4E">
      <w:pPr>
        <w:pStyle w:val="ListParagraph"/>
        <w:numPr>
          <w:ilvl w:val="2"/>
          <w:numId w:val="5"/>
        </w:numPr>
        <w:spacing w:after="120"/>
        <w:contextualSpacing w:val="0"/>
        <w:jc w:val="both"/>
        <w:rPr>
          <w:rFonts w:ascii="Arial" w:hAnsi="Arial" w:cs="Arial"/>
        </w:rPr>
      </w:pPr>
      <w:r>
        <w:rPr>
          <w:rFonts w:ascii="Arial" w:hAnsi="Arial" w:cs="Arial"/>
          <w:b/>
        </w:rPr>
        <w:t>RE Participation in New Investments</w:t>
      </w:r>
      <w:r w:rsidRPr="00504D1A">
        <w:rPr>
          <w:rFonts w:ascii="Arial" w:hAnsi="Arial" w:cs="Arial"/>
        </w:rPr>
        <w:t>.</w:t>
      </w:r>
      <w:r>
        <w:rPr>
          <w:rFonts w:ascii="Arial" w:hAnsi="Arial" w:cs="Arial"/>
        </w:rPr>
        <w:t xml:space="preserve"> We follow the assumption made for the estimation of projected renewable energy investments in the ZNIs</w:t>
      </w:r>
      <w:r>
        <w:rPr>
          <w:rStyle w:val="FootnoteReference"/>
          <w:rFonts w:ascii="Arial" w:hAnsi="Arial" w:cs="Arial"/>
        </w:rPr>
        <w:footnoteReference w:id="9"/>
      </w:r>
      <w:r>
        <w:rPr>
          <w:rFonts w:ascii="Arial" w:hAnsi="Arial" w:cs="Arial"/>
        </w:rPr>
        <w:t xml:space="preserve"> that sets in 70% the share of new investments that goes to renewable energy every year</w:t>
      </w:r>
      <w:r w:rsidR="003256F7">
        <w:rPr>
          <w:rFonts w:ascii="Arial" w:hAnsi="Arial" w:cs="Arial"/>
        </w:rPr>
        <w:t xml:space="preserve"> in the ZNIs</w:t>
      </w:r>
      <w:r>
        <w:rPr>
          <w:rFonts w:ascii="Arial" w:hAnsi="Arial" w:cs="Arial"/>
        </w:rPr>
        <w:t xml:space="preserve">. This </w:t>
      </w:r>
      <w:r w:rsidR="003256F7">
        <w:rPr>
          <w:rFonts w:ascii="Arial" w:hAnsi="Arial" w:cs="Arial"/>
        </w:rPr>
        <w:t xml:space="preserve">assumption would yield (if investments on RE occur every year beyond the programs life spam) a participation of 30% for renewable energy </w:t>
      </w:r>
      <w:r w:rsidR="00543AF3">
        <w:rPr>
          <w:rFonts w:ascii="Arial" w:hAnsi="Arial" w:cs="Arial"/>
        </w:rPr>
        <w:t xml:space="preserve">generation </w:t>
      </w:r>
      <w:r w:rsidR="003256F7">
        <w:rPr>
          <w:rFonts w:ascii="Arial" w:hAnsi="Arial" w:cs="Arial"/>
        </w:rPr>
        <w:t xml:space="preserve">in ZNIs by 2040, which is </w:t>
      </w:r>
      <w:r w:rsidR="0089228C">
        <w:rPr>
          <w:rFonts w:ascii="Arial" w:hAnsi="Arial" w:cs="Arial"/>
        </w:rPr>
        <w:t>in line</w:t>
      </w:r>
      <w:r w:rsidR="003256F7">
        <w:rPr>
          <w:rFonts w:ascii="Arial" w:hAnsi="Arial" w:cs="Arial"/>
        </w:rPr>
        <w:t xml:space="preserve"> with Colombia’s Government plans</w:t>
      </w:r>
      <w:r w:rsidR="003256F7">
        <w:rPr>
          <w:rStyle w:val="FootnoteReference"/>
          <w:rFonts w:ascii="Arial" w:hAnsi="Arial" w:cs="Arial"/>
        </w:rPr>
        <w:footnoteReference w:id="10"/>
      </w:r>
      <w:r w:rsidR="003256F7">
        <w:rPr>
          <w:rFonts w:ascii="Arial" w:hAnsi="Arial" w:cs="Arial"/>
        </w:rPr>
        <w:t>.</w:t>
      </w:r>
    </w:p>
    <w:p w14:paraId="12447ED9" w14:textId="77777777" w:rsidR="00543AF3" w:rsidRDefault="00543AF3" w:rsidP="00997B4E">
      <w:pPr>
        <w:pStyle w:val="ListParagraph"/>
        <w:numPr>
          <w:ilvl w:val="2"/>
          <w:numId w:val="5"/>
        </w:numPr>
        <w:spacing w:after="120"/>
        <w:contextualSpacing w:val="0"/>
        <w:jc w:val="both"/>
        <w:rPr>
          <w:rFonts w:ascii="Arial" w:hAnsi="Arial" w:cs="Arial"/>
        </w:rPr>
      </w:pPr>
      <w:r>
        <w:rPr>
          <w:rFonts w:ascii="Arial" w:hAnsi="Arial" w:cs="Arial"/>
          <w:b/>
        </w:rPr>
        <w:t>Distribution of investments by RE technologies</w:t>
      </w:r>
      <w:r w:rsidRPr="00543AF3">
        <w:rPr>
          <w:rFonts w:ascii="Arial" w:hAnsi="Arial" w:cs="Arial"/>
        </w:rPr>
        <w:t>.</w:t>
      </w:r>
      <w:r>
        <w:rPr>
          <w:rFonts w:ascii="Arial" w:hAnsi="Arial" w:cs="Arial"/>
        </w:rPr>
        <w:t xml:space="preserve"> Following the consultations and surveys with energy authorities, energy operators and technology providers we follow the assumption</w:t>
      </w:r>
      <w:r>
        <w:rPr>
          <w:rStyle w:val="FootnoteReference"/>
          <w:rFonts w:ascii="Arial" w:hAnsi="Arial" w:cs="Arial"/>
        </w:rPr>
        <w:footnoteReference w:id="11"/>
      </w:r>
      <w:r>
        <w:rPr>
          <w:rFonts w:ascii="Arial" w:hAnsi="Arial" w:cs="Arial"/>
        </w:rPr>
        <w:t xml:space="preserve"> that the yearly investments in RE in the ZNIs will be distributed as follows: 30% for Hybrid Plants</w:t>
      </w:r>
      <w:r w:rsidR="00F161A3">
        <w:rPr>
          <w:rFonts w:ascii="Arial" w:hAnsi="Arial" w:cs="Arial"/>
        </w:rPr>
        <w:t xml:space="preserve"> (Diesel + Solar)</w:t>
      </w:r>
      <w:r>
        <w:rPr>
          <w:rFonts w:ascii="Arial" w:hAnsi="Arial" w:cs="Arial"/>
        </w:rPr>
        <w:t>, 30% for Solar, 20% for SHP and 20% for Biomass.</w:t>
      </w:r>
    </w:p>
    <w:p w14:paraId="68C2FBAF" w14:textId="77777777" w:rsidR="00F161A3" w:rsidRDefault="00F161A3" w:rsidP="00F161A3">
      <w:pPr>
        <w:pStyle w:val="ListParagraph"/>
        <w:spacing w:after="120"/>
        <w:ind w:left="1080"/>
        <w:contextualSpacing w:val="0"/>
        <w:jc w:val="both"/>
        <w:rPr>
          <w:rFonts w:ascii="Arial" w:hAnsi="Arial" w:cs="Arial"/>
        </w:rPr>
      </w:pPr>
    </w:p>
    <w:p w14:paraId="1B3E52E6" w14:textId="77777777" w:rsidR="00F205A0" w:rsidRDefault="002C095A" w:rsidP="002C095A">
      <w:pPr>
        <w:pStyle w:val="ListParagraph"/>
        <w:spacing w:after="120"/>
        <w:ind w:left="1080"/>
        <w:contextualSpacing w:val="0"/>
        <w:rPr>
          <w:rFonts w:ascii="Arial" w:hAnsi="Arial" w:cs="Arial"/>
        </w:rPr>
      </w:pPr>
      <w:r>
        <w:rPr>
          <w:rFonts w:ascii="Arial" w:hAnsi="Arial" w:cs="Arial"/>
          <w:b/>
        </w:rPr>
        <w:t xml:space="preserve">      </w:t>
      </w:r>
      <w:r w:rsidR="00F205A0">
        <w:rPr>
          <w:rFonts w:ascii="Arial" w:hAnsi="Arial" w:cs="Arial"/>
          <w:b/>
        </w:rPr>
        <w:t xml:space="preserve">Table </w:t>
      </w:r>
      <w:r w:rsidR="00F205A0" w:rsidRPr="002C095A">
        <w:rPr>
          <w:rFonts w:ascii="Arial" w:hAnsi="Arial" w:cs="Arial"/>
          <w:b/>
        </w:rPr>
        <w:t>2.1</w:t>
      </w:r>
      <w:r w:rsidR="00F205A0">
        <w:rPr>
          <w:rFonts w:ascii="Arial" w:hAnsi="Arial" w:cs="Arial"/>
          <w:b/>
        </w:rPr>
        <w:t xml:space="preserve"> Distribution of Investments by RE Technology</w:t>
      </w:r>
    </w:p>
    <w:tbl>
      <w:tblPr>
        <w:tblW w:w="0" w:type="auto"/>
        <w:jc w:val="center"/>
        <w:tblLayout w:type="fixed"/>
        <w:tblCellMar>
          <w:left w:w="0" w:type="dxa"/>
          <w:right w:w="0" w:type="dxa"/>
        </w:tblCellMar>
        <w:tblLook w:val="04A0" w:firstRow="1" w:lastRow="0" w:firstColumn="1" w:lastColumn="0" w:noHBand="0" w:noVBand="1"/>
      </w:tblPr>
      <w:tblGrid>
        <w:gridCol w:w="1152"/>
        <w:gridCol w:w="1152"/>
        <w:gridCol w:w="1152"/>
        <w:gridCol w:w="1152"/>
      </w:tblGrid>
      <w:tr w:rsidR="00F161A3" w:rsidRPr="00185901" w14:paraId="14B2C88F" w14:textId="77777777" w:rsidTr="002C095A">
        <w:trPr>
          <w:trHeight w:val="464"/>
          <w:jc w:val="center"/>
        </w:trPr>
        <w:tc>
          <w:tcPr>
            <w:tcW w:w="1152" w:type="dxa"/>
            <w:tcBorders>
              <w:top w:val="single" w:sz="8" w:space="0" w:color="auto"/>
              <w:left w:val="single" w:sz="8" w:space="0" w:color="auto"/>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40FF11BA" w14:textId="77777777" w:rsidR="00F161A3" w:rsidRPr="00185901" w:rsidRDefault="00F161A3" w:rsidP="002C095A">
            <w:pPr>
              <w:jc w:val="center"/>
              <w:textAlignment w:val="bottom"/>
              <w:rPr>
                <w:rFonts w:ascii="Arial" w:hAnsi="Arial" w:cs="Arial"/>
                <w:b/>
                <w:bCs/>
                <w:color w:val="FFFFFF" w:themeColor="background1"/>
                <w:sz w:val="20"/>
                <w:szCs w:val="20"/>
              </w:rPr>
            </w:pPr>
            <w:r>
              <w:rPr>
                <w:rFonts w:ascii="Arial" w:hAnsi="Arial" w:cs="Arial"/>
                <w:b/>
                <w:bCs/>
                <w:color w:val="FFFFFF" w:themeColor="background1"/>
                <w:sz w:val="20"/>
                <w:szCs w:val="20"/>
              </w:rPr>
              <w:t>Hybrid</w:t>
            </w:r>
          </w:p>
        </w:tc>
        <w:tc>
          <w:tcPr>
            <w:tcW w:w="1152" w:type="dxa"/>
            <w:tcBorders>
              <w:top w:val="single" w:sz="8" w:space="0" w:color="auto"/>
              <w:left w:val="nil"/>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1457F40D" w14:textId="77777777" w:rsidR="00F161A3" w:rsidRPr="00185901" w:rsidRDefault="00F161A3" w:rsidP="002C095A">
            <w:pPr>
              <w:jc w:val="center"/>
              <w:textAlignment w:val="bottom"/>
              <w:rPr>
                <w:rFonts w:ascii="Arial" w:hAnsi="Arial" w:cs="Arial"/>
                <w:b/>
                <w:bCs/>
                <w:color w:val="FFFFFF" w:themeColor="background1"/>
                <w:sz w:val="20"/>
                <w:szCs w:val="20"/>
              </w:rPr>
            </w:pPr>
            <w:r>
              <w:rPr>
                <w:rFonts w:ascii="Arial" w:hAnsi="Arial" w:cs="Arial"/>
                <w:b/>
                <w:bCs/>
                <w:color w:val="FFFFFF" w:themeColor="background1"/>
                <w:sz w:val="20"/>
                <w:szCs w:val="20"/>
              </w:rPr>
              <w:t>Solar</w:t>
            </w:r>
          </w:p>
        </w:tc>
        <w:tc>
          <w:tcPr>
            <w:tcW w:w="1152"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0D3A4448" w14:textId="77777777" w:rsidR="00F161A3" w:rsidRPr="00185901" w:rsidRDefault="00F161A3" w:rsidP="002C095A">
            <w:pPr>
              <w:jc w:val="center"/>
              <w:textAlignment w:val="bottom"/>
              <w:rPr>
                <w:rFonts w:ascii="Arial" w:hAnsi="Arial" w:cs="Arial"/>
                <w:b/>
                <w:bCs/>
                <w:color w:val="FFFFFF" w:themeColor="background1"/>
                <w:sz w:val="20"/>
                <w:szCs w:val="20"/>
              </w:rPr>
            </w:pPr>
            <w:r>
              <w:rPr>
                <w:rFonts w:ascii="Arial" w:hAnsi="Arial" w:cs="Arial"/>
                <w:b/>
                <w:bCs/>
                <w:color w:val="FFFFFF" w:themeColor="background1"/>
                <w:sz w:val="20"/>
                <w:szCs w:val="20"/>
              </w:rPr>
              <w:t>SHP</w:t>
            </w:r>
          </w:p>
        </w:tc>
        <w:tc>
          <w:tcPr>
            <w:tcW w:w="1152" w:type="dxa"/>
            <w:tcBorders>
              <w:top w:val="single" w:sz="8" w:space="0" w:color="auto"/>
              <w:left w:val="nil"/>
              <w:bottom w:val="single" w:sz="8" w:space="0" w:color="auto"/>
              <w:right w:val="single" w:sz="8" w:space="0" w:color="auto"/>
            </w:tcBorders>
            <w:shd w:val="clear" w:color="auto" w:fill="17365D" w:themeFill="text2" w:themeFillShade="BF"/>
            <w:vAlign w:val="center"/>
          </w:tcPr>
          <w:p w14:paraId="0F5A426B" w14:textId="77777777" w:rsidR="00F161A3" w:rsidRPr="00185901" w:rsidRDefault="00F161A3" w:rsidP="002C095A">
            <w:pPr>
              <w:jc w:val="center"/>
              <w:textAlignment w:val="bottom"/>
              <w:rPr>
                <w:rFonts w:ascii="Arial" w:hAnsi="Arial" w:cs="Arial"/>
                <w:b/>
                <w:bCs/>
                <w:color w:val="FFFFFF" w:themeColor="background1"/>
                <w:sz w:val="20"/>
                <w:szCs w:val="20"/>
              </w:rPr>
            </w:pPr>
            <w:r>
              <w:rPr>
                <w:rFonts w:ascii="Arial" w:hAnsi="Arial" w:cs="Arial"/>
                <w:b/>
                <w:bCs/>
                <w:color w:val="FFFFFF" w:themeColor="background1"/>
                <w:sz w:val="20"/>
                <w:szCs w:val="20"/>
              </w:rPr>
              <w:t>Biomass</w:t>
            </w:r>
          </w:p>
        </w:tc>
      </w:tr>
      <w:tr w:rsidR="00F161A3" w14:paraId="074A839D" w14:textId="77777777" w:rsidTr="002C095A">
        <w:trPr>
          <w:trHeight w:val="465"/>
          <w:jc w:val="center"/>
        </w:trPr>
        <w:tc>
          <w:tcPr>
            <w:tcW w:w="1152"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9C4C694" w14:textId="77777777" w:rsidR="00F161A3" w:rsidRDefault="00F161A3" w:rsidP="002C095A">
            <w:pPr>
              <w:jc w:val="center"/>
              <w:textAlignment w:val="bottom"/>
              <w:rPr>
                <w:rFonts w:ascii="Arial" w:hAnsi="Arial" w:cs="Arial"/>
                <w:color w:val="000000"/>
                <w:sz w:val="20"/>
                <w:szCs w:val="20"/>
              </w:rPr>
            </w:pPr>
            <w:r>
              <w:rPr>
                <w:rFonts w:ascii="Arial" w:hAnsi="Arial" w:cs="Arial"/>
                <w:color w:val="000000"/>
                <w:sz w:val="20"/>
                <w:szCs w:val="20"/>
              </w:rPr>
              <w:t>30%</w:t>
            </w:r>
          </w:p>
        </w:tc>
        <w:tc>
          <w:tcPr>
            <w:tcW w:w="1152"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D02F12E" w14:textId="77777777" w:rsidR="00F161A3" w:rsidRDefault="00F161A3" w:rsidP="002C095A">
            <w:pPr>
              <w:jc w:val="center"/>
              <w:textAlignment w:val="bottom"/>
              <w:rPr>
                <w:rFonts w:ascii="Arial" w:hAnsi="Arial" w:cs="Arial"/>
                <w:color w:val="000000"/>
                <w:sz w:val="20"/>
                <w:szCs w:val="20"/>
              </w:rPr>
            </w:pPr>
            <w:r>
              <w:rPr>
                <w:rFonts w:ascii="Arial" w:hAnsi="Arial" w:cs="Arial"/>
                <w:color w:val="000000"/>
                <w:sz w:val="20"/>
                <w:szCs w:val="20"/>
              </w:rPr>
              <w:t>30%</w:t>
            </w:r>
          </w:p>
        </w:tc>
        <w:tc>
          <w:tcPr>
            <w:tcW w:w="1152" w:type="dxa"/>
            <w:tcBorders>
              <w:top w:val="nil"/>
              <w:left w:val="nil"/>
              <w:bottom w:val="single" w:sz="8" w:space="0" w:color="auto"/>
              <w:right w:val="single" w:sz="8" w:space="0" w:color="auto"/>
            </w:tcBorders>
            <w:vAlign w:val="center"/>
          </w:tcPr>
          <w:p w14:paraId="74EB749C" w14:textId="77777777" w:rsidR="00F161A3" w:rsidRDefault="00F161A3" w:rsidP="002C095A">
            <w:pPr>
              <w:jc w:val="center"/>
              <w:textAlignment w:val="bottom"/>
              <w:rPr>
                <w:rFonts w:ascii="Arial" w:hAnsi="Arial" w:cs="Arial"/>
                <w:color w:val="000000"/>
                <w:sz w:val="20"/>
                <w:szCs w:val="20"/>
              </w:rPr>
            </w:pPr>
            <w:r>
              <w:rPr>
                <w:rFonts w:ascii="Arial" w:hAnsi="Arial" w:cs="Arial"/>
                <w:color w:val="000000"/>
                <w:sz w:val="20"/>
                <w:szCs w:val="20"/>
              </w:rPr>
              <w:t>20%</w:t>
            </w:r>
          </w:p>
        </w:tc>
        <w:tc>
          <w:tcPr>
            <w:tcW w:w="1152" w:type="dxa"/>
            <w:tcBorders>
              <w:top w:val="nil"/>
              <w:left w:val="nil"/>
              <w:bottom w:val="single" w:sz="8" w:space="0" w:color="auto"/>
              <w:right w:val="single" w:sz="8" w:space="0" w:color="auto"/>
            </w:tcBorders>
            <w:vAlign w:val="center"/>
          </w:tcPr>
          <w:p w14:paraId="07E56B1A" w14:textId="77777777" w:rsidR="00F161A3" w:rsidRDefault="00F161A3" w:rsidP="002C095A">
            <w:pPr>
              <w:jc w:val="center"/>
              <w:textAlignment w:val="bottom"/>
              <w:rPr>
                <w:rFonts w:ascii="Arial" w:hAnsi="Arial" w:cs="Arial"/>
                <w:color w:val="000000"/>
                <w:sz w:val="20"/>
                <w:szCs w:val="20"/>
              </w:rPr>
            </w:pPr>
            <w:r>
              <w:rPr>
                <w:rFonts w:ascii="Arial" w:hAnsi="Arial" w:cs="Arial"/>
                <w:color w:val="000000"/>
                <w:sz w:val="20"/>
                <w:szCs w:val="20"/>
              </w:rPr>
              <w:t>20%</w:t>
            </w:r>
          </w:p>
        </w:tc>
      </w:tr>
    </w:tbl>
    <w:p w14:paraId="50A7D63B" w14:textId="77777777" w:rsidR="00F205A0" w:rsidRPr="00F161A3" w:rsidRDefault="00F161A3" w:rsidP="00F205A0">
      <w:pPr>
        <w:pStyle w:val="ListParagraph"/>
        <w:spacing w:after="120"/>
        <w:ind w:left="1080"/>
        <w:contextualSpacing w:val="0"/>
        <w:jc w:val="both"/>
        <w:rPr>
          <w:rFonts w:ascii="Arial" w:hAnsi="Arial" w:cs="Arial"/>
          <w:sz w:val="20"/>
          <w:szCs w:val="20"/>
        </w:rPr>
      </w:pPr>
      <w:r w:rsidRPr="00F161A3">
        <w:rPr>
          <w:rFonts w:ascii="Arial" w:hAnsi="Arial" w:cs="Arial"/>
          <w:sz w:val="20"/>
          <w:szCs w:val="20"/>
        </w:rPr>
        <w:t>Source: Analysis of Demand for Credit for Investments in Renewable Energy in ZNI</w:t>
      </w:r>
    </w:p>
    <w:p w14:paraId="04A0C79A" w14:textId="77777777" w:rsidR="00207A95" w:rsidRDefault="00207A95" w:rsidP="00997B4E">
      <w:pPr>
        <w:pStyle w:val="ListParagraph"/>
        <w:spacing w:after="120"/>
        <w:contextualSpacing w:val="0"/>
        <w:jc w:val="both"/>
        <w:rPr>
          <w:rFonts w:ascii="Arial" w:hAnsi="Arial" w:cs="Arial"/>
          <w:b/>
          <w:u w:val="single"/>
        </w:rPr>
      </w:pPr>
    </w:p>
    <w:p w14:paraId="271605AF" w14:textId="77777777" w:rsidR="00207A95" w:rsidRDefault="00207A95" w:rsidP="00997B4E">
      <w:pPr>
        <w:pStyle w:val="ListParagraph"/>
        <w:spacing w:after="120"/>
        <w:contextualSpacing w:val="0"/>
        <w:jc w:val="both"/>
        <w:rPr>
          <w:rFonts w:ascii="Arial" w:hAnsi="Arial" w:cs="Arial"/>
          <w:b/>
          <w:u w:val="single"/>
        </w:rPr>
      </w:pPr>
    </w:p>
    <w:p w14:paraId="51D2781D" w14:textId="77777777" w:rsidR="00160AA2" w:rsidRPr="00F26752" w:rsidRDefault="009A1033" w:rsidP="00997B4E">
      <w:pPr>
        <w:pStyle w:val="ListParagraph"/>
        <w:spacing w:after="120"/>
        <w:contextualSpacing w:val="0"/>
        <w:jc w:val="both"/>
        <w:rPr>
          <w:rFonts w:ascii="Arial" w:hAnsi="Arial" w:cs="Arial"/>
          <w:u w:val="single"/>
        </w:rPr>
      </w:pPr>
      <w:r>
        <w:rPr>
          <w:rFonts w:ascii="Arial" w:hAnsi="Arial" w:cs="Arial"/>
          <w:b/>
          <w:u w:val="single"/>
        </w:rPr>
        <w:lastRenderedPageBreak/>
        <w:t>Technology Assumptions</w:t>
      </w:r>
    </w:p>
    <w:p w14:paraId="1256D2D8" w14:textId="77777777" w:rsidR="00BC665B" w:rsidRPr="00662649" w:rsidRDefault="009A1033" w:rsidP="00997B4E">
      <w:pPr>
        <w:pStyle w:val="ListParagraph"/>
        <w:numPr>
          <w:ilvl w:val="2"/>
          <w:numId w:val="5"/>
        </w:numPr>
        <w:spacing w:after="120"/>
        <w:jc w:val="both"/>
        <w:rPr>
          <w:rFonts w:ascii="Arial" w:hAnsi="Arial" w:cs="Arial"/>
          <w:b/>
        </w:rPr>
      </w:pPr>
      <w:r>
        <w:rPr>
          <w:rFonts w:ascii="Arial" w:hAnsi="Arial" w:cs="Arial"/>
          <w:b/>
        </w:rPr>
        <w:t>Current distribution of Technologies</w:t>
      </w:r>
      <w:r w:rsidR="00BA1FFA" w:rsidRPr="00F26752">
        <w:rPr>
          <w:rFonts w:ascii="Arial" w:hAnsi="Arial" w:cs="Arial"/>
          <w:b/>
        </w:rPr>
        <w:t>.</w:t>
      </w:r>
      <w:r w:rsidR="002D7E25">
        <w:rPr>
          <w:rFonts w:ascii="Arial" w:hAnsi="Arial" w:cs="Arial"/>
          <w:b/>
        </w:rPr>
        <w:t xml:space="preserve"> </w:t>
      </w:r>
      <w:r w:rsidR="002D7E25">
        <w:rPr>
          <w:rFonts w:ascii="Arial" w:hAnsi="Arial" w:cs="Arial"/>
        </w:rPr>
        <w:t>According to data from IPSE</w:t>
      </w:r>
      <w:r w:rsidR="002D7E25">
        <w:rPr>
          <w:rStyle w:val="FootnoteReference"/>
          <w:rFonts w:ascii="Arial" w:hAnsi="Arial" w:cs="Arial"/>
        </w:rPr>
        <w:footnoteReference w:id="12"/>
      </w:r>
      <w:r w:rsidR="0059240C" w:rsidRPr="00F26752">
        <w:rPr>
          <w:rFonts w:ascii="Arial" w:hAnsi="Arial" w:cs="Arial"/>
        </w:rPr>
        <w:t xml:space="preserve"> </w:t>
      </w:r>
      <w:r w:rsidR="002D7E25">
        <w:rPr>
          <w:rFonts w:ascii="Arial" w:hAnsi="Arial" w:cs="Arial"/>
        </w:rPr>
        <w:t xml:space="preserve">the current distribution of </w:t>
      </w:r>
      <w:r w:rsidR="00C560E4">
        <w:rPr>
          <w:rFonts w:ascii="Arial" w:hAnsi="Arial" w:cs="Arial"/>
        </w:rPr>
        <w:t xml:space="preserve">generation </w:t>
      </w:r>
      <w:r w:rsidR="002D7E25">
        <w:rPr>
          <w:rFonts w:ascii="Arial" w:hAnsi="Arial" w:cs="Arial"/>
        </w:rPr>
        <w:t xml:space="preserve">technologies is 97% </w:t>
      </w:r>
      <w:r w:rsidR="00C560E4">
        <w:rPr>
          <w:rFonts w:ascii="Arial" w:hAnsi="Arial" w:cs="Arial"/>
        </w:rPr>
        <w:t>diesel</w:t>
      </w:r>
      <w:r w:rsidR="002D7E25">
        <w:rPr>
          <w:rFonts w:ascii="Arial" w:hAnsi="Arial" w:cs="Arial"/>
        </w:rPr>
        <w:t xml:space="preserve"> and 3% energy generated from renewable sources.</w:t>
      </w:r>
    </w:p>
    <w:p w14:paraId="27E367EF" w14:textId="4A6216D8" w:rsidR="00A637C2" w:rsidRPr="00662649" w:rsidRDefault="005064BD" w:rsidP="00997B4E">
      <w:pPr>
        <w:pStyle w:val="ListParagraph"/>
        <w:numPr>
          <w:ilvl w:val="2"/>
          <w:numId w:val="5"/>
        </w:numPr>
        <w:spacing w:after="120"/>
        <w:jc w:val="both"/>
        <w:rPr>
          <w:rFonts w:ascii="Arial" w:hAnsi="Arial" w:cs="Arial"/>
          <w:b/>
          <w:sz w:val="6"/>
          <w:szCs w:val="6"/>
        </w:rPr>
      </w:pPr>
      <w:r w:rsidRPr="00662649">
        <w:rPr>
          <w:rFonts w:ascii="Arial" w:hAnsi="Arial" w:cs="Arial"/>
          <w:b/>
        </w:rPr>
        <w:t xml:space="preserve">Renewable Technologies. </w:t>
      </w:r>
      <w:r w:rsidR="00C560E4" w:rsidRPr="00662649">
        <w:rPr>
          <w:rFonts w:ascii="Arial" w:hAnsi="Arial" w:cs="Arial"/>
        </w:rPr>
        <w:t xml:space="preserve">Based on consultation with energy experts and operators and energy providers we assume the renewable technologies to be considered for the analysis are: </w:t>
      </w:r>
      <w:r w:rsidR="00694C29">
        <w:rPr>
          <w:rFonts w:ascii="Arial" w:hAnsi="Arial" w:cs="Arial"/>
        </w:rPr>
        <w:t>photovoltaic (</w:t>
      </w:r>
      <w:r w:rsidR="00C560E4" w:rsidRPr="00662649">
        <w:rPr>
          <w:rFonts w:ascii="Arial" w:hAnsi="Arial" w:cs="Arial"/>
        </w:rPr>
        <w:t>solar</w:t>
      </w:r>
      <w:r w:rsidR="00694C29">
        <w:rPr>
          <w:rFonts w:ascii="Arial" w:hAnsi="Arial" w:cs="Arial"/>
        </w:rPr>
        <w:t>)</w:t>
      </w:r>
      <w:r w:rsidR="00C560E4" w:rsidRPr="00662649">
        <w:rPr>
          <w:rFonts w:ascii="Arial" w:hAnsi="Arial" w:cs="Arial"/>
        </w:rPr>
        <w:t>, hybrid (solar + diesel), small hydropower (SHP) and biomass.</w:t>
      </w:r>
      <w:r w:rsidR="00FA0072">
        <w:rPr>
          <w:rFonts w:ascii="Arial" w:hAnsi="Arial" w:cs="Arial"/>
        </w:rPr>
        <w:t xml:space="preserve"> These technologies produce no GHG emissions, unless we are in the case of </w:t>
      </w:r>
      <w:proofErr w:type="gramStart"/>
      <w:r w:rsidR="00FA0072">
        <w:rPr>
          <w:rFonts w:ascii="Arial" w:hAnsi="Arial" w:cs="Arial"/>
        </w:rPr>
        <w:t>an</w:t>
      </w:r>
      <w:proofErr w:type="gramEnd"/>
      <w:r w:rsidR="00FA0072">
        <w:rPr>
          <w:rFonts w:ascii="Arial" w:hAnsi="Arial" w:cs="Arial"/>
        </w:rPr>
        <w:t xml:space="preserve"> hybrid plant, where emissions are produced by the diesel component of the plant.</w:t>
      </w:r>
    </w:p>
    <w:p w14:paraId="5A170FE4" w14:textId="77777777" w:rsidR="00BC665B" w:rsidRPr="00F26752" w:rsidRDefault="006567D4" w:rsidP="00997B4E">
      <w:pPr>
        <w:pStyle w:val="ListParagraph"/>
        <w:numPr>
          <w:ilvl w:val="2"/>
          <w:numId w:val="5"/>
        </w:numPr>
        <w:spacing w:after="120"/>
        <w:contextualSpacing w:val="0"/>
        <w:jc w:val="both"/>
        <w:rPr>
          <w:rFonts w:ascii="Arial" w:hAnsi="Arial" w:cs="Arial"/>
        </w:rPr>
      </w:pPr>
      <w:r w:rsidRPr="00B87C44">
        <w:rPr>
          <w:rFonts w:ascii="Arial" w:hAnsi="Arial" w:cs="Arial"/>
          <w:b/>
        </w:rPr>
        <w:t>Stages of Development and Calendar</w:t>
      </w:r>
      <w:r w:rsidRPr="00B87C44">
        <w:rPr>
          <w:rFonts w:ascii="Arial" w:hAnsi="Arial" w:cs="Arial"/>
        </w:rPr>
        <w:t xml:space="preserve">. </w:t>
      </w:r>
      <w:r w:rsidR="00662649" w:rsidRPr="00B87C44">
        <w:rPr>
          <w:rFonts w:ascii="Arial" w:hAnsi="Arial" w:cs="Arial"/>
        </w:rPr>
        <w:t>Following information on standard</w:t>
      </w:r>
      <w:r w:rsidR="00662649">
        <w:rPr>
          <w:rFonts w:ascii="Arial" w:hAnsi="Arial" w:cs="Arial"/>
        </w:rPr>
        <w:t xml:space="preserve"> construction times, we assume that all types of plants considered in this analysis can start operating in the first year of investment</w:t>
      </w:r>
      <w:r w:rsidR="00EC73F3" w:rsidRPr="00F26752">
        <w:rPr>
          <w:rFonts w:ascii="Arial" w:hAnsi="Arial" w:cs="Arial"/>
        </w:rPr>
        <w:t xml:space="preserve">. </w:t>
      </w:r>
      <w:r w:rsidR="00662649">
        <w:rPr>
          <w:rFonts w:ascii="Arial" w:hAnsi="Arial" w:cs="Arial"/>
        </w:rPr>
        <w:t>Hence, the flows of</w:t>
      </w:r>
      <w:r w:rsidR="005E69DC">
        <w:rPr>
          <w:rFonts w:ascii="Arial" w:hAnsi="Arial" w:cs="Arial"/>
        </w:rPr>
        <w:t xml:space="preserve"> costs and emissions begin</w:t>
      </w:r>
      <w:r w:rsidR="00662649">
        <w:rPr>
          <w:rFonts w:ascii="Arial" w:hAnsi="Arial" w:cs="Arial"/>
        </w:rPr>
        <w:t xml:space="preserve"> </w:t>
      </w:r>
      <w:r w:rsidR="005E69DC">
        <w:rPr>
          <w:rFonts w:ascii="Arial" w:hAnsi="Arial" w:cs="Arial"/>
        </w:rPr>
        <w:t>in</w:t>
      </w:r>
      <w:r w:rsidR="00662649">
        <w:rPr>
          <w:rFonts w:ascii="Arial" w:hAnsi="Arial" w:cs="Arial"/>
        </w:rPr>
        <w:t xml:space="preserve"> year one.</w:t>
      </w:r>
    </w:p>
    <w:p w14:paraId="41C99663" w14:textId="299895D4" w:rsidR="00160AA2" w:rsidRPr="0023289F" w:rsidRDefault="006C67E3" w:rsidP="00997B4E">
      <w:pPr>
        <w:pStyle w:val="ListParagraph"/>
        <w:numPr>
          <w:ilvl w:val="2"/>
          <w:numId w:val="5"/>
        </w:numPr>
        <w:spacing w:after="120"/>
        <w:contextualSpacing w:val="0"/>
        <w:jc w:val="both"/>
        <w:rPr>
          <w:rFonts w:ascii="Arial" w:hAnsi="Arial" w:cs="Arial"/>
        </w:rPr>
      </w:pPr>
      <w:r w:rsidRPr="00F26752">
        <w:rPr>
          <w:rFonts w:ascii="Arial" w:hAnsi="Arial" w:cs="Arial"/>
          <w:b/>
        </w:rPr>
        <w:t xml:space="preserve">Load </w:t>
      </w:r>
      <w:r w:rsidR="00517132">
        <w:rPr>
          <w:rFonts w:ascii="Arial" w:hAnsi="Arial" w:cs="Arial"/>
          <w:b/>
        </w:rPr>
        <w:t>Capacity Factor</w:t>
      </w:r>
      <w:r w:rsidRPr="00F26752">
        <w:rPr>
          <w:rFonts w:ascii="Arial" w:hAnsi="Arial" w:cs="Arial"/>
        </w:rPr>
        <w:t>.</w:t>
      </w:r>
      <w:r w:rsidR="00517132">
        <w:rPr>
          <w:rFonts w:ascii="Arial" w:hAnsi="Arial" w:cs="Arial"/>
        </w:rPr>
        <w:t xml:space="preserve"> </w:t>
      </w:r>
      <w:r w:rsidR="00517132" w:rsidRPr="00431256">
        <w:rPr>
          <w:rFonts w:ascii="Arial" w:hAnsi="Arial" w:cs="Arial"/>
        </w:rPr>
        <w:t>The load capacity factor of a </w:t>
      </w:r>
      <w:hyperlink r:id="rId9" w:tooltip="Power plant" w:history="1">
        <w:r w:rsidR="00517132" w:rsidRPr="00431256">
          <w:rPr>
            <w:rFonts w:ascii="Arial" w:hAnsi="Arial" w:cs="Arial"/>
          </w:rPr>
          <w:t>power plant</w:t>
        </w:r>
      </w:hyperlink>
      <w:r w:rsidR="00517132" w:rsidRPr="00431256">
        <w:rPr>
          <w:rFonts w:ascii="Arial" w:hAnsi="Arial" w:cs="Arial"/>
        </w:rPr>
        <w:t> is the ratio of its actual output over a period of time, to its potential output if it were possible for it to operate at full </w:t>
      </w:r>
      <w:hyperlink r:id="rId10" w:tooltip="Nameplate capacity" w:history="1">
        <w:r w:rsidR="00517132" w:rsidRPr="00431256">
          <w:rPr>
            <w:rFonts w:ascii="Arial" w:hAnsi="Arial" w:cs="Arial"/>
          </w:rPr>
          <w:t>nameplate capacity</w:t>
        </w:r>
      </w:hyperlink>
      <w:r w:rsidR="00517132" w:rsidRPr="00431256">
        <w:rPr>
          <w:rFonts w:ascii="Arial" w:hAnsi="Arial" w:cs="Arial"/>
        </w:rPr>
        <w:t xml:space="preserve"> indefinitely.</w:t>
      </w:r>
      <w:r w:rsidR="00517132">
        <w:rPr>
          <w:rFonts w:ascii="Arial" w:hAnsi="Arial" w:cs="Arial"/>
        </w:rPr>
        <w:t xml:space="preserve"> This factor can vary depending of the design of the plant and fuel that powers it. Following information from IPSE, reported in the Analysis for Demand of Credit for our target group, we assume that </w:t>
      </w:r>
      <w:r w:rsidR="00517132" w:rsidRPr="0023289F">
        <w:rPr>
          <w:rFonts w:ascii="Arial" w:hAnsi="Arial" w:cs="Arial"/>
        </w:rPr>
        <w:t>the average load factor of current plants is 64%.</w:t>
      </w:r>
      <w:r w:rsidR="002516CF">
        <w:rPr>
          <w:rStyle w:val="FootnoteReference"/>
          <w:rFonts w:ascii="Arial" w:hAnsi="Arial" w:cs="Arial"/>
        </w:rPr>
        <w:footnoteReference w:id="13"/>
      </w:r>
    </w:p>
    <w:p w14:paraId="6D9B37C4" w14:textId="77777777" w:rsidR="0068734F" w:rsidRPr="0068734F" w:rsidRDefault="0068734F" w:rsidP="00997B4E">
      <w:pPr>
        <w:pStyle w:val="ListParagraph"/>
        <w:numPr>
          <w:ilvl w:val="2"/>
          <w:numId w:val="5"/>
        </w:numPr>
        <w:spacing w:after="120"/>
        <w:contextualSpacing w:val="0"/>
        <w:jc w:val="both"/>
        <w:rPr>
          <w:rFonts w:ascii="Arial" w:hAnsi="Arial" w:cs="Arial"/>
        </w:rPr>
      </w:pPr>
      <w:r w:rsidRPr="0068734F">
        <w:rPr>
          <w:rFonts w:ascii="Arial" w:hAnsi="Arial" w:cs="Arial"/>
          <w:b/>
        </w:rPr>
        <w:t>New RE capacity</w:t>
      </w:r>
      <w:r>
        <w:rPr>
          <w:rFonts w:ascii="Arial" w:hAnsi="Arial" w:cs="Arial"/>
        </w:rPr>
        <w:t>. Following the calculations in the Analysis for Demand of Credit, we assume that every financed project will invest, on average, in 0.7 MW of renewable energy installed capacity. This assumption comes from the discussions and surveys with the executing agency, energy operators and technol</w:t>
      </w:r>
      <w:r w:rsidR="00B64F23">
        <w:rPr>
          <w:rFonts w:ascii="Arial" w:hAnsi="Arial" w:cs="Arial"/>
        </w:rPr>
        <w:t>ogy providers that concluded that for this first stage of RE investments in ZNIs</w:t>
      </w:r>
      <w:r w:rsidR="00622BE0">
        <w:rPr>
          <w:rFonts w:ascii="Arial" w:hAnsi="Arial" w:cs="Arial"/>
        </w:rPr>
        <w:t>,</w:t>
      </w:r>
      <w:r w:rsidR="00B64F23">
        <w:rPr>
          <w:rFonts w:ascii="Arial" w:hAnsi="Arial" w:cs="Arial"/>
        </w:rPr>
        <w:t xml:space="preserve"> the current plants will add RE to their generation in an amount equivalent, on average, to 20% of their current average installed capacity</w:t>
      </w:r>
      <w:r w:rsidR="00E1114B">
        <w:rPr>
          <w:rFonts w:ascii="Arial" w:hAnsi="Arial" w:cs="Arial"/>
        </w:rPr>
        <w:t xml:space="preserve"> (3.67 MW)</w:t>
      </w:r>
      <w:r w:rsidR="00B64F23">
        <w:rPr>
          <w:rFonts w:ascii="Arial" w:hAnsi="Arial" w:cs="Arial"/>
        </w:rPr>
        <w:t>.</w:t>
      </w:r>
    </w:p>
    <w:p w14:paraId="76B7584E" w14:textId="77777777" w:rsidR="006C2501" w:rsidRPr="00F26752" w:rsidRDefault="006C2501" w:rsidP="00997B4E">
      <w:pPr>
        <w:pStyle w:val="ListParagraph"/>
        <w:spacing w:after="120"/>
        <w:ind w:left="1080"/>
        <w:contextualSpacing w:val="0"/>
        <w:jc w:val="both"/>
        <w:rPr>
          <w:rFonts w:ascii="Arial" w:hAnsi="Arial" w:cs="Arial"/>
          <w:sz w:val="4"/>
          <w:szCs w:val="4"/>
        </w:rPr>
      </w:pPr>
    </w:p>
    <w:p w14:paraId="72C39D25" w14:textId="77777777" w:rsidR="008469D6" w:rsidRPr="0068734F" w:rsidRDefault="008469D6" w:rsidP="00997B4E">
      <w:pPr>
        <w:spacing w:after="120"/>
        <w:jc w:val="both"/>
        <w:rPr>
          <w:rFonts w:ascii="Arial" w:hAnsi="Arial" w:cs="Arial"/>
          <w:sz w:val="8"/>
          <w:szCs w:val="8"/>
        </w:rPr>
      </w:pPr>
    </w:p>
    <w:p w14:paraId="55709B89" w14:textId="77777777" w:rsidR="008469D6" w:rsidRPr="00F26752" w:rsidRDefault="008469D6" w:rsidP="00997B4E">
      <w:pPr>
        <w:spacing w:after="120"/>
        <w:jc w:val="both"/>
        <w:rPr>
          <w:rFonts w:ascii="Arial" w:hAnsi="Arial" w:cs="Arial"/>
        </w:rPr>
      </w:pPr>
      <w:r w:rsidRPr="0068734F">
        <w:rPr>
          <w:rFonts w:ascii="Arial" w:hAnsi="Arial" w:cs="Arial"/>
        </w:rPr>
        <w:tab/>
      </w:r>
      <w:r w:rsidRPr="00F26752">
        <w:rPr>
          <w:rFonts w:ascii="Arial" w:hAnsi="Arial" w:cs="Arial"/>
          <w:b/>
          <w:u w:val="single"/>
        </w:rPr>
        <w:t>Cost Assumptions</w:t>
      </w:r>
    </w:p>
    <w:p w14:paraId="5C0BC3CA" w14:textId="77777777" w:rsidR="00622BE0" w:rsidRPr="00622BE0" w:rsidRDefault="00622BE0" w:rsidP="00622BE0">
      <w:pPr>
        <w:pStyle w:val="ListParagraph"/>
        <w:spacing w:after="120"/>
        <w:ind w:left="1080"/>
        <w:contextualSpacing w:val="0"/>
        <w:jc w:val="both"/>
        <w:rPr>
          <w:rFonts w:ascii="Arial" w:hAnsi="Arial" w:cs="Arial"/>
        </w:rPr>
      </w:pPr>
      <w:r>
        <w:rPr>
          <w:rFonts w:ascii="Arial" w:hAnsi="Arial" w:cs="Arial"/>
        </w:rPr>
        <w:t xml:space="preserve">We follow the cost estimations </w:t>
      </w:r>
      <w:r w:rsidR="007F4404">
        <w:rPr>
          <w:rFonts w:ascii="Arial" w:hAnsi="Arial" w:cs="Arial"/>
        </w:rPr>
        <w:t xml:space="preserve">presented in the Analysis for Demand of Credit, which is based on information provided by </w:t>
      </w:r>
      <w:r w:rsidR="00694C29">
        <w:rPr>
          <w:rFonts w:ascii="Arial" w:hAnsi="Arial" w:cs="Arial"/>
        </w:rPr>
        <w:t xml:space="preserve">UPME, </w:t>
      </w:r>
      <w:r w:rsidR="007F4404">
        <w:rPr>
          <w:rFonts w:ascii="Arial" w:hAnsi="Arial" w:cs="Arial"/>
        </w:rPr>
        <w:t>IPSE and specific projects in Colombia and LAC region. These costs consider the additional transportation and logistics requirements that producing in the ZNIs demands.</w:t>
      </w:r>
    </w:p>
    <w:p w14:paraId="4A63013C" w14:textId="77777777" w:rsidR="00674217" w:rsidRPr="00F26752" w:rsidRDefault="008469D6" w:rsidP="00997B4E">
      <w:pPr>
        <w:pStyle w:val="ListParagraph"/>
        <w:numPr>
          <w:ilvl w:val="2"/>
          <w:numId w:val="5"/>
        </w:numPr>
        <w:spacing w:after="120"/>
        <w:contextualSpacing w:val="0"/>
        <w:jc w:val="both"/>
        <w:rPr>
          <w:rFonts w:ascii="Arial" w:hAnsi="Arial" w:cs="Arial"/>
        </w:rPr>
      </w:pPr>
      <w:r w:rsidRPr="00F26752">
        <w:rPr>
          <w:rFonts w:ascii="Arial" w:hAnsi="Arial" w:cs="Arial"/>
          <w:b/>
        </w:rPr>
        <w:t>Investment Costs</w:t>
      </w:r>
      <w:r w:rsidRPr="00F26752">
        <w:rPr>
          <w:rFonts w:ascii="Arial" w:hAnsi="Arial" w:cs="Arial"/>
        </w:rPr>
        <w:t xml:space="preserve">. </w:t>
      </w:r>
      <w:r w:rsidR="007F4404">
        <w:rPr>
          <w:rFonts w:ascii="Arial" w:hAnsi="Arial" w:cs="Arial"/>
        </w:rPr>
        <w:t>For the diesel plants, we assume an investment cost of 530 USD$ per installed kW</w:t>
      </w:r>
      <w:r w:rsidR="00820163" w:rsidRPr="00F26752">
        <w:rPr>
          <w:rFonts w:ascii="Arial" w:hAnsi="Arial" w:cs="Arial"/>
        </w:rPr>
        <w:t>.</w:t>
      </w:r>
      <w:r w:rsidR="007F4404">
        <w:rPr>
          <w:rFonts w:ascii="Arial" w:hAnsi="Arial" w:cs="Arial"/>
        </w:rPr>
        <w:t xml:space="preserve"> </w:t>
      </w:r>
      <w:r w:rsidR="00694C29">
        <w:rPr>
          <w:rFonts w:ascii="Arial" w:hAnsi="Arial" w:cs="Arial"/>
        </w:rPr>
        <w:t xml:space="preserve">For hybrid (diesel + solar) we assume 3,291 </w:t>
      </w:r>
      <w:r w:rsidR="00694C29">
        <w:rPr>
          <w:rFonts w:ascii="Arial" w:hAnsi="Arial" w:cs="Arial"/>
        </w:rPr>
        <w:lastRenderedPageBreak/>
        <w:t>USD/kW, for solar 3,192 USD/kW, for SHP 3,448 USD/kW and for biomass 2,906 USD/kW.</w:t>
      </w:r>
    </w:p>
    <w:p w14:paraId="5333475E" w14:textId="77777777" w:rsidR="008469D6" w:rsidRDefault="00674217" w:rsidP="00AC6553">
      <w:pPr>
        <w:pStyle w:val="ListParagraph"/>
        <w:numPr>
          <w:ilvl w:val="2"/>
          <w:numId w:val="5"/>
        </w:numPr>
        <w:spacing w:after="120"/>
        <w:contextualSpacing w:val="0"/>
        <w:jc w:val="both"/>
        <w:rPr>
          <w:rFonts w:ascii="Arial" w:hAnsi="Arial" w:cs="Arial"/>
          <w:spacing w:val="-4"/>
        </w:rPr>
      </w:pPr>
      <w:r w:rsidRPr="00F26752">
        <w:rPr>
          <w:rFonts w:ascii="Arial" w:hAnsi="Arial" w:cs="Arial"/>
          <w:b/>
          <w:spacing w:val="-4"/>
        </w:rPr>
        <w:t>Operation and Management Costs</w:t>
      </w:r>
      <w:r w:rsidRPr="00F26752">
        <w:rPr>
          <w:rFonts w:ascii="Arial" w:hAnsi="Arial" w:cs="Arial"/>
          <w:spacing w:val="-4"/>
        </w:rPr>
        <w:t>.</w:t>
      </w:r>
      <w:r w:rsidR="00694C29">
        <w:rPr>
          <w:rFonts w:ascii="Arial" w:hAnsi="Arial" w:cs="Arial"/>
          <w:spacing w:val="-4"/>
        </w:rPr>
        <w:t xml:space="preserve"> We assume </w:t>
      </w:r>
      <w:r w:rsidR="0015768B">
        <w:rPr>
          <w:rFonts w:ascii="Arial" w:hAnsi="Arial" w:cs="Arial"/>
          <w:spacing w:val="-4"/>
        </w:rPr>
        <w:t>an operational cost of 0.22 USD/kWh for diesel plants, 0.2 USD/kWh for hybrid plants, 0.024 USD/kWh for solar plants, 0.02 USD/kWh for SHP and 0.068 USD/kWh for biomass</w:t>
      </w:r>
      <w:r w:rsidR="00324EFD" w:rsidRPr="00F26752">
        <w:rPr>
          <w:rFonts w:ascii="Arial" w:hAnsi="Arial" w:cs="Arial"/>
          <w:spacing w:val="-4"/>
        </w:rPr>
        <w:t>.</w:t>
      </w:r>
    </w:p>
    <w:p w14:paraId="4E450EE4" w14:textId="77777777" w:rsidR="00B87C44" w:rsidRPr="00F26752" w:rsidRDefault="00B87C44" w:rsidP="00AC6553">
      <w:pPr>
        <w:pStyle w:val="ListParagraph"/>
        <w:spacing w:after="120"/>
        <w:contextualSpacing w:val="0"/>
        <w:jc w:val="both"/>
        <w:rPr>
          <w:rFonts w:ascii="Arial" w:hAnsi="Arial" w:cs="Arial"/>
          <w:spacing w:val="-4"/>
        </w:rPr>
      </w:pPr>
    </w:p>
    <w:p w14:paraId="4A592468" w14:textId="77777777" w:rsidR="00E75EBA" w:rsidRPr="00F26752" w:rsidRDefault="00E75EBA" w:rsidP="00185901">
      <w:pPr>
        <w:pStyle w:val="ListParagraph"/>
        <w:spacing w:after="120"/>
        <w:ind w:left="1080"/>
        <w:contextualSpacing w:val="0"/>
        <w:jc w:val="center"/>
        <w:rPr>
          <w:rFonts w:ascii="Arial" w:hAnsi="Arial" w:cs="Arial"/>
          <w:b/>
          <w:sz w:val="20"/>
          <w:szCs w:val="20"/>
        </w:rPr>
      </w:pPr>
      <w:r w:rsidRPr="00F26752">
        <w:rPr>
          <w:rFonts w:ascii="Arial" w:hAnsi="Arial" w:cs="Arial"/>
          <w:b/>
          <w:sz w:val="20"/>
          <w:szCs w:val="20"/>
        </w:rPr>
        <w:t xml:space="preserve">Table </w:t>
      </w:r>
      <w:r w:rsidR="00862361">
        <w:rPr>
          <w:rFonts w:ascii="Arial" w:hAnsi="Arial" w:cs="Arial"/>
          <w:b/>
          <w:sz w:val="20"/>
          <w:szCs w:val="20"/>
        </w:rPr>
        <w:t>2.2</w:t>
      </w:r>
      <w:r w:rsidR="00C052D0" w:rsidRPr="00F26752">
        <w:rPr>
          <w:rFonts w:ascii="Arial" w:hAnsi="Arial" w:cs="Arial"/>
          <w:b/>
          <w:sz w:val="20"/>
          <w:szCs w:val="20"/>
        </w:rPr>
        <w:t xml:space="preserve"> </w:t>
      </w:r>
      <w:r w:rsidR="00185901" w:rsidRPr="00185901">
        <w:rPr>
          <w:rFonts w:ascii="Arial" w:hAnsi="Arial" w:cs="Arial"/>
          <w:b/>
          <w:sz w:val="20"/>
          <w:szCs w:val="20"/>
        </w:rPr>
        <w:t xml:space="preserve">Comparison of </w:t>
      </w:r>
      <w:r w:rsidR="00185901">
        <w:rPr>
          <w:rFonts w:ascii="Arial" w:hAnsi="Arial" w:cs="Arial"/>
          <w:b/>
          <w:sz w:val="20"/>
          <w:szCs w:val="20"/>
        </w:rPr>
        <w:t>Investment</w:t>
      </w:r>
      <w:r w:rsidR="00185901" w:rsidRPr="00185901">
        <w:rPr>
          <w:rFonts w:ascii="Arial" w:hAnsi="Arial" w:cs="Arial"/>
          <w:b/>
          <w:sz w:val="20"/>
          <w:szCs w:val="20"/>
        </w:rPr>
        <w:t xml:space="preserve"> and </w:t>
      </w:r>
      <w:r w:rsidR="00185901">
        <w:rPr>
          <w:rFonts w:ascii="Arial" w:hAnsi="Arial" w:cs="Arial"/>
          <w:b/>
          <w:sz w:val="20"/>
          <w:szCs w:val="20"/>
        </w:rPr>
        <w:t>O&amp;M</w:t>
      </w:r>
      <w:r w:rsidR="00185901" w:rsidRPr="00185901">
        <w:rPr>
          <w:rFonts w:ascii="Arial" w:hAnsi="Arial" w:cs="Arial"/>
          <w:b/>
          <w:sz w:val="20"/>
          <w:szCs w:val="20"/>
        </w:rPr>
        <w:t xml:space="preserve"> for diesel and alternative renewable energies in the ZNI</w:t>
      </w:r>
    </w:p>
    <w:tbl>
      <w:tblPr>
        <w:tblW w:w="5127" w:type="dxa"/>
        <w:jc w:val="center"/>
        <w:tblCellMar>
          <w:left w:w="0" w:type="dxa"/>
          <w:right w:w="0" w:type="dxa"/>
        </w:tblCellMar>
        <w:tblLook w:val="04A0" w:firstRow="1" w:lastRow="0" w:firstColumn="1" w:lastColumn="0" w:noHBand="0" w:noVBand="1"/>
      </w:tblPr>
      <w:tblGrid>
        <w:gridCol w:w="1590"/>
        <w:gridCol w:w="1849"/>
        <w:gridCol w:w="1688"/>
      </w:tblGrid>
      <w:tr w:rsidR="00185901" w:rsidRPr="00185901" w14:paraId="3D5B3F46" w14:textId="77777777" w:rsidTr="00624070">
        <w:trPr>
          <w:trHeight w:val="276"/>
          <w:jc w:val="center"/>
        </w:trPr>
        <w:tc>
          <w:tcPr>
            <w:tcW w:w="1590" w:type="dxa"/>
            <w:tcBorders>
              <w:top w:val="single" w:sz="8" w:space="0" w:color="auto"/>
              <w:left w:val="single" w:sz="8" w:space="0" w:color="auto"/>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58D692FB" w14:textId="77777777" w:rsidR="00185901" w:rsidRPr="00185901" w:rsidRDefault="00185901">
            <w:pPr>
              <w:jc w:val="center"/>
              <w:textAlignment w:val="bottom"/>
              <w:rPr>
                <w:rFonts w:ascii="Arial" w:hAnsi="Arial" w:cs="Arial"/>
                <w:b/>
                <w:bCs/>
                <w:color w:val="FFFFFF" w:themeColor="background1"/>
                <w:sz w:val="20"/>
                <w:szCs w:val="20"/>
              </w:rPr>
            </w:pPr>
            <w:r w:rsidRPr="00185901">
              <w:rPr>
                <w:rFonts w:ascii="Arial" w:hAnsi="Arial" w:cs="Arial"/>
                <w:b/>
                <w:bCs/>
                <w:color w:val="FFFFFF" w:themeColor="background1"/>
                <w:sz w:val="20"/>
                <w:szCs w:val="20"/>
              </w:rPr>
              <w:t>Technologies</w:t>
            </w:r>
          </w:p>
        </w:tc>
        <w:tc>
          <w:tcPr>
            <w:tcW w:w="1849" w:type="dxa"/>
            <w:tcBorders>
              <w:top w:val="single" w:sz="8" w:space="0" w:color="auto"/>
              <w:left w:val="nil"/>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3AD181EC" w14:textId="77777777" w:rsidR="00185901" w:rsidRPr="00185901" w:rsidRDefault="00185901">
            <w:pPr>
              <w:jc w:val="center"/>
              <w:textAlignment w:val="bottom"/>
              <w:rPr>
                <w:rFonts w:ascii="Arial" w:hAnsi="Arial" w:cs="Arial"/>
                <w:b/>
                <w:bCs/>
                <w:color w:val="FFFFFF" w:themeColor="background1"/>
                <w:sz w:val="20"/>
                <w:szCs w:val="20"/>
              </w:rPr>
            </w:pPr>
            <w:r w:rsidRPr="00185901">
              <w:rPr>
                <w:rFonts w:ascii="Arial" w:hAnsi="Arial" w:cs="Arial"/>
                <w:b/>
                <w:bCs/>
                <w:color w:val="FFFFFF" w:themeColor="background1"/>
                <w:sz w:val="20"/>
                <w:szCs w:val="20"/>
              </w:rPr>
              <w:t>CAPEX (US$/kW)</w:t>
            </w:r>
          </w:p>
        </w:tc>
        <w:tc>
          <w:tcPr>
            <w:tcW w:w="1688" w:type="dxa"/>
            <w:tcBorders>
              <w:top w:val="single" w:sz="8" w:space="0" w:color="auto"/>
              <w:left w:val="nil"/>
              <w:bottom w:val="single" w:sz="8" w:space="0" w:color="auto"/>
              <w:right w:val="single" w:sz="8" w:space="0" w:color="auto"/>
            </w:tcBorders>
            <w:shd w:val="clear" w:color="auto" w:fill="17365D" w:themeFill="text2" w:themeFillShade="BF"/>
            <w:tcMar>
              <w:top w:w="15" w:type="dxa"/>
              <w:left w:w="15" w:type="dxa"/>
              <w:bottom w:w="0" w:type="dxa"/>
              <w:right w:w="15" w:type="dxa"/>
            </w:tcMar>
            <w:vAlign w:val="center"/>
            <w:hideMark/>
          </w:tcPr>
          <w:p w14:paraId="1272134D" w14:textId="77777777" w:rsidR="00185901" w:rsidRPr="00185901" w:rsidRDefault="00185901">
            <w:pPr>
              <w:jc w:val="center"/>
              <w:textAlignment w:val="bottom"/>
              <w:rPr>
                <w:rFonts w:ascii="Arial" w:hAnsi="Arial" w:cs="Arial"/>
                <w:b/>
                <w:bCs/>
                <w:color w:val="FFFFFF" w:themeColor="background1"/>
                <w:sz w:val="20"/>
                <w:szCs w:val="20"/>
              </w:rPr>
            </w:pPr>
            <w:r w:rsidRPr="00185901">
              <w:rPr>
                <w:rFonts w:ascii="Arial" w:hAnsi="Arial" w:cs="Arial"/>
                <w:b/>
                <w:bCs/>
                <w:color w:val="FFFFFF" w:themeColor="background1"/>
                <w:sz w:val="20"/>
                <w:szCs w:val="20"/>
              </w:rPr>
              <w:t>OPEX (US$/kWh)</w:t>
            </w:r>
          </w:p>
        </w:tc>
      </w:tr>
      <w:tr w:rsidR="00185901" w14:paraId="383763A2" w14:textId="77777777" w:rsidTr="00624070">
        <w:trPr>
          <w:trHeight w:val="113"/>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70973326" w14:textId="77777777" w:rsidR="00185901" w:rsidRPr="002C095A" w:rsidRDefault="00185901" w:rsidP="00185901">
            <w:pPr>
              <w:jc w:val="center"/>
              <w:textAlignment w:val="bottom"/>
              <w:rPr>
                <w:rFonts w:ascii="Arial" w:hAnsi="Arial" w:cs="Arial"/>
                <w:b/>
                <w:color w:val="000000"/>
                <w:sz w:val="20"/>
                <w:szCs w:val="20"/>
              </w:rPr>
            </w:pPr>
            <w:r w:rsidRPr="002C095A">
              <w:rPr>
                <w:rFonts w:ascii="Arial" w:hAnsi="Arial" w:cs="Arial"/>
                <w:b/>
                <w:color w:val="000000"/>
                <w:sz w:val="20"/>
                <w:szCs w:val="20"/>
              </w:rPr>
              <w:t>Diesel</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3922705" w14:textId="77777777" w:rsidR="00185901" w:rsidRDefault="00185901" w:rsidP="00185901">
            <w:pPr>
              <w:jc w:val="center"/>
              <w:textAlignment w:val="bottom"/>
              <w:rPr>
                <w:rFonts w:ascii="Arial" w:hAnsi="Arial" w:cs="Arial"/>
                <w:color w:val="000000"/>
                <w:sz w:val="20"/>
                <w:szCs w:val="20"/>
              </w:rPr>
            </w:pPr>
            <w:r>
              <w:rPr>
                <w:rFonts w:ascii="Arial" w:hAnsi="Arial" w:cs="Arial"/>
                <w:color w:val="000000"/>
                <w:sz w:val="20"/>
                <w:szCs w:val="20"/>
              </w:rPr>
              <w:t>530</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48EFF283" w14:textId="77777777" w:rsidR="00185901" w:rsidRDefault="00185901" w:rsidP="00185901">
            <w:pPr>
              <w:jc w:val="center"/>
              <w:textAlignment w:val="bottom"/>
              <w:rPr>
                <w:rFonts w:ascii="Arial" w:hAnsi="Arial" w:cs="Arial"/>
                <w:color w:val="000000"/>
                <w:sz w:val="20"/>
                <w:szCs w:val="20"/>
              </w:rPr>
            </w:pPr>
            <w:r>
              <w:rPr>
                <w:rFonts w:ascii="Arial" w:hAnsi="Arial" w:cs="Arial"/>
                <w:color w:val="000000"/>
                <w:sz w:val="20"/>
                <w:szCs w:val="20"/>
              </w:rPr>
              <w:t>0.22</w:t>
            </w:r>
          </w:p>
        </w:tc>
      </w:tr>
      <w:tr w:rsidR="00185901" w14:paraId="65092EA5" w14:textId="77777777" w:rsidTr="00624070">
        <w:trPr>
          <w:trHeight w:val="137"/>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3FF601BD" w14:textId="77777777" w:rsidR="00185901" w:rsidRPr="002C095A" w:rsidRDefault="00185901" w:rsidP="00185901">
            <w:pPr>
              <w:jc w:val="center"/>
              <w:textAlignment w:val="bottom"/>
              <w:rPr>
                <w:rFonts w:ascii="Arial" w:hAnsi="Arial" w:cs="Arial"/>
                <w:b/>
                <w:sz w:val="20"/>
                <w:szCs w:val="20"/>
              </w:rPr>
            </w:pPr>
            <w:r w:rsidRPr="002C095A">
              <w:rPr>
                <w:rFonts w:ascii="Arial" w:hAnsi="Arial" w:cs="Arial"/>
                <w:b/>
                <w:color w:val="000000"/>
                <w:sz w:val="20"/>
                <w:szCs w:val="20"/>
              </w:rPr>
              <w:t>Hybrid Diesel + Photovoltaic</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BAD78DD"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3,291</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902A1E2"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0.20</w:t>
            </w:r>
          </w:p>
        </w:tc>
      </w:tr>
      <w:tr w:rsidR="00185901" w14:paraId="52FED375" w14:textId="77777777" w:rsidTr="00624070">
        <w:trPr>
          <w:trHeight w:val="164"/>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2C4F5E16" w14:textId="77777777" w:rsidR="00185901" w:rsidRPr="002C095A" w:rsidRDefault="00185901" w:rsidP="00185901">
            <w:pPr>
              <w:jc w:val="center"/>
              <w:textAlignment w:val="bottom"/>
              <w:rPr>
                <w:rFonts w:ascii="Arial" w:hAnsi="Arial" w:cs="Arial"/>
                <w:b/>
                <w:sz w:val="20"/>
                <w:szCs w:val="20"/>
              </w:rPr>
            </w:pPr>
            <w:r w:rsidRPr="002C095A">
              <w:rPr>
                <w:rFonts w:ascii="Arial" w:hAnsi="Arial" w:cs="Arial"/>
                <w:b/>
                <w:color w:val="000000"/>
                <w:sz w:val="20"/>
                <w:szCs w:val="20"/>
              </w:rPr>
              <w:t>Photovoltaic</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7BD94C47"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3,192</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5A503B46"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0.024</w:t>
            </w:r>
          </w:p>
        </w:tc>
      </w:tr>
      <w:tr w:rsidR="00185901" w14:paraId="55CE00F9" w14:textId="77777777" w:rsidTr="00624070">
        <w:trPr>
          <w:trHeight w:val="113"/>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1502FFFB" w14:textId="77777777" w:rsidR="00185901" w:rsidRPr="002C095A" w:rsidRDefault="00185901" w:rsidP="00185901">
            <w:pPr>
              <w:jc w:val="center"/>
              <w:textAlignment w:val="bottom"/>
              <w:rPr>
                <w:rFonts w:ascii="Arial" w:hAnsi="Arial" w:cs="Arial"/>
                <w:b/>
                <w:sz w:val="20"/>
                <w:szCs w:val="20"/>
              </w:rPr>
            </w:pPr>
            <w:r w:rsidRPr="002C095A">
              <w:rPr>
                <w:rFonts w:ascii="Arial" w:hAnsi="Arial" w:cs="Arial"/>
                <w:b/>
                <w:color w:val="000000"/>
                <w:sz w:val="20"/>
                <w:szCs w:val="20"/>
              </w:rPr>
              <w:t>SHPs</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2F22F6CF"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3,448</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B6326A2"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0.021</w:t>
            </w:r>
          </w:p>
        </w:tc>
      </w:tr>
      <w:tr w:rsidR="00185901" w14:paraId="23B6FA71" w14:textId="77777777" w:rsidTr="00624070">
        <w:trPr>
          <w:trHeight w:val="137"/>
          <w:jc w:val="center"/>
        </w:trPr>
        <w:tc>
          <w:tcPr>
            <w:tcW w:w="1590"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14:paraId="5B082E7E" w14:textId="77777777" w:rsidR="00185901" w:rsidRPr="002C095A" w:rsidRDefault="00185901" w:rsidP="00185901">
            <w:pPr>
              <w:jc w:val="center"/>
              <w:textAlignment w:val="bottom"/>
              <w:rPr>
                <w:rFonts w:ascii="Arial" w:hAnsi="Arial" w:cs="Arial"/>
                <w:b/>
                <w:sz w:val="20"/>
                <w:szCs w:val="20"/>
              </w:rPr>
            </w:pPr>
            <w:r w:rsidRPr="002C095A">
              <w:rPr>
                <w:rFonts w:ascii="Arial" w:hAnsi="Arial" w:cs="Arial"/>
                <w:b/>
                <w:color w:val="000000"/>
                <w:sz w:val="20"/>
                <w:szCs w:val="20"/>
              </w:rPr>
              <w:t>Biomass</w:t>
            </w:r>
          </w:p>
        </w:tc>
        <w:tc>
          <w:tcPr>
            <w:tcW w:w="1849"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63EC7009"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2,906</w:t>
            </w:r>
          </w:p>
        </w:tc>
        <w:tc>
          <w:tcPr>
            <w:tcW w:w="1688" w:type="dxa"/>
            <w:tcBorders>
              <w:top w:val="nil"/>
              <w:left w:val="nil"/>
              <w:bottom w:val="single" w:sz="8" w:space="0" w:color="auto"/>
              <w:right w:val="single" w:sz="8" w:space="0" w:color="auto"/>
            </w:tcBorders>
            <w:tcMar>
              <w:top w:w="15" w:type="dxa"/>
              <w:left w:w="15" w:type="dxa"/>
              <w:bottom w:w="0" w:type="dxa"/>
              <w:right w:w="15" w:type="dxa"/>
            </w:tcMar>
            <w:vAlign w:val="center"/>
            <w:hideMark/>
          </w:tcPr>
          <w:p w14:paraId="0093086D" w14:textId="77777777" w:rsidR="00185901" w:rsidRDefault="00185901" w:rsidP="00185901">
            <w:pPr>
              <w:jc w:val="center"/>
              <w:textAlignment w:val="bottom"/>
              <w:rPr>
                <w:rFonts w:ascii="Arial" w:hAnsi="Arial" w:cs="Arial"/>
                <w:sz w:val="20"/>
                <w:szCs w:val="20"/>
              </w:rPr>
            </w:pPr>
            <w:r>
              <w:rPr>
                <w:rFonts w:ascii="Arial" w:hAnsi="Arial" w:cs="Arial"/>
                <w:color w:val="000000"/>
                <w:sz w:val="20"/>
                <w:szCs w:val="20"/>
              </w:rPr>
              <w:t>0.068</w:t>
            </w:r>
          </w:p>
        </w:tc>
      </w:tr>
    </w:tbl>
    <w:p w14:paraId="3DB28769" w14:textId="77777777" w:rsidR="00624070" w:rsidRDefault="00624070" w:rsidP="00185901">
      <w:pPr>
        <w:pStyle w:val="ListParagraph"/>
        <w:tabs>
          <w:tab w:val="left" w:pos="3336"/>
        </w:tabs>
        <w:spacing w:after="120"/>
        <w:ind w:left="1080"/>
        <w:contextualSpacing w:val="0"/>
        <w:jc w:val="both"/>
        <w:rPr>
          <w:rFonts w:ascii="Arial" w:hAnsi="Arial" w:cs="Arial"/>
          <w:sz w:val="18"/>
          <w:szCs w:val="18"/>
        </w:rPr>
      </w:pPr>
    </w:p>
    <w:p w14:paraId="05019BA1" w14:textId="77777777" w:rsidR="00E75EBA" w:rsidRDefault="00185901" w:rsidP="00185901">
      <w:pPr>
        <w:pStyle w:val="ListParagraph"/>
        <w:tabs>
          <w:tab w:val="left" w:pos="3336"/>
        </w:tabs>
        <w:spacing w:after="120"/>
        <w:ind w:left="1080"/>
        <w:contextualSpacing w:val="0"/>
        <w:jc w:val="both"/>
        <w:rPr>
          <w:rFonts w:ascii="Arial" w:hAnsi="Arial" w:cs="Arial"/>
          <w:sz w:val="18"/>
          <w:szCs w:val="18"/>
        </w:rPr>
      </w:pPr>
      <w:r>
        <w:rPr>
          <w:rFonts w:ascii="Arial" w:hAnsi="Arial" w:cs="Arial"/>
          <w:sz w:val="18"/>
          <w:szCs w:val="18"/>
        </w:rPr>
        <w:t xml:space="preserve">Source: IDB estimations of average expenses based on data from Unit for Mining and Energy Planning (UPME). </w:t>
      </w:r>
      <w:proofErr w:type="gramStart"/>
      <w:r>
        <w:rPr>
          <w:rFonts w:ascii="Arial" w:hAnsi="Arial" w:cs="Arial"/>
          <w:sz w:val="18"/>
          <w:szCs w:val="18"/>
        </w:rPr>
        <w:t>IPSE and exiting projects in the ZNI.</w:t>
      </w:r>
      <w:proofErr w:type="gramEnd"/>
    </w:p>
    <w:p w14:paraId="12E4E0E5" w14:textId="77777777" w:rsidR="00207A95" w:rsidRPr="00185901" w:rsidRDefault="00207A95" w:rsidP="00185901">
      <w:pPr>
        <w:pStyle w:val="ListParagraph"/>
        <w:tabs>
          <w:tab w:val="left" w:pos="3336"/>
        </w:tabs>
        <w:spacing w:after="120"/>
        <w:ind w:left="1080"/>
        <w:contextualSpacing w:val="0"/>
        <w:jc w:val="both"/>
        <w:rPr>
          <w:rFonts w:ascii="Arial" w:hAnsi="Arial" w:cs="Arial"/>
        </w:rPr>
      </w:pPr>
    </w:p>
    <w:p w14:paraId="29BC2E6E" w14:textId="77777777" w:rsidR="00A14E07" w:rsidRPr="00F26752" w:rsidRDefault="00552128" w:rsidP="00997B4E">
      <w:pPr>
        <w:spacing w:after="120"/>
        <w:ind w:left="720"/>
        <w:jc w:val="both"/>
        <w:rPr>
          <w:rFonts w:ascii="Arial" w:hAnsi="Arial" w:cs="Arial"/>
          <w:u w:val="single"/>
        </w:rPr>
      </w:pPr>
      <w:r w:rsidRPr="00F26752">
        <w:rPr>
          <w:rFonts w:ascii="Arial" w:hAnsi="Arial" w:cs="Arial"/>
          <w:b/>
          <w:u w:val="single"/>
        </w:rPr>
        <w:t>Assumptions R</w:t>
      </w:r>
      <w:r w:rsidR="00A14E07" w:rsidRPr="00F26752">
        <w:rPr>
          <w:rFonts w:ascii="Arial" w:hAnsi="Arial" w:cs="Arial"/>
          <w:b/>
          <w:u w:val="single"/>
        </w:rPr>
        <w:t>egarding CO</w:t>
      </w:r>
      <w:r w:rsidR="00570D0B" w:rsidRPr="00F26752">
        <w:rPr>
          <w:rFonts w:ascii="Arial" w:hAnsi="Arial" w:cs="Arial"/>
          <w:b/>
          <w:u w:val="single"/>
          <w:vertAlign w:val="subscript"/>
        </w:rPr>
        <w:t>2</w:t>
      </w:r>
      <w:r w:rsidRPr="00F26752">
        <w:rPr>
          <w:rFonts w:ascii="Arial" w:hAnsi="Arial" w:cs="Arial"/>
          <w:b/>
          <w:u w:val="single"/>
        </w:rPr>
        <w:t xml:space="preserve"> E</w:t>
      </w:r>
      <w:r w:rsidR="00570D0B" w:rsidRPr="00F26752">
        <w:rPr>
          <w:rFonts w:ascii="Arial" w:hAnsi="Arial" w:cs="Arial"/>
          <w:b/>
          <w:u w:val="single"/>
        </w:rPr>
        <w:t>missions</w:t>
      </w:r>
    </w:p>
    <w:p w14:paraId="334DFB9E" w14:textId="77777777" w:rsidR="00F15627" w:rsidRPr="00F26752" w:rsidRDefault="00570D0B" w:rsidP="00997B4E">
      <w:pPr>
        <w:pStyle w:val="ListParagraph"/>
        <w:numPr>
          <w:ilvl w:val="2"/>
          <w:numId w:val="5"/>
        </w:numPr>
        <w:tabs>
          <w:tab w:val="num" w:pos="9306"/>
        </w:tabs>
        <w:spacing w:after="120" w:line="240" w:lineRule="auto"/>
        <w:contextualSpacing w:val="0"/>
        <w:jc w:val="both"/>
        <w:rPr>
          <w:rFonts w:ascii="Arial" w:hAnsi="Arial" w:cs="Arial"/>
          <w:b/>
        </w:rPr>
      </w:pPr>
      <w:r w:rsidRPr="00F26752">
        <w:rPr>
          <w:rFonts w:ascii="Arial" w:hAnsi="Arial" w:cs="Arial"/>
          <w:b/>
        </w:rPr>
        <w:t>Emissions factor for Colombia</w:t>
      </w:r>
      <w:r w:rsidR="00DA1B74">
        <w:rPr>
          <w:rFonts w:ascii="Arial" w:hAnsi="Arial" w:cs="Arial"/>
          <w:b/>
        </w:rPr>
        <w:t>’s ZNIs</w:t>
      </w:r>
      <w:r w:rsidRPr="00F26752">
        <w:rPr>
          <w:rFonts w:ascii="Arial" w:hAnsi="Arial" w:cs="Arial"/>
          <w:b/>
        </w:rPr>
        <w:t>.</w:t>
      </w:r>
      <w:r w:rsidRPr="00F26752">
        <w:rPr>
          <w:rFonts w:ascii="Arial" w:hAnsi="Arial" w:cs="Arial"/>
        </w:rPr>
        <w:t xml:space="preserve"> We follow </w:t>
      </w:r>
      <w:r w:rsidR="00DA1B74">
        <w:rPr>
          <w:rFonts w:ascii="Arial" w:hAnsi="Arial" w:cs="Arial"/>
        </w:rPr>
        <w:t>the information reported from UPME in the Analysis for Demand that provides an estimated emission factor of 10.16 CO</w:t>
      </w:r>
      <w:r w:rsidR="00DA1B74">
        <w:rPr>
          <w:rFonts w:ascii="Arial" w:hAnsi="Arial" w:cs="Arial"/>
          <w:vertAlign w:val="subscript"/>
        </w:rPr>
        <w:t xml:space="preserve">2 </w:t>
      </w:r>
      <w:r w:rsidR="00DA1B74">
        <w:rPr>
          <w:rFonts w:ascii="Arial" w:hAnsi="Arial" w:cs="Arial"/>
        </w:rPr>
        <w:t>Kg per gallon, which in turn implies a factor of 0.83 Kg CO</w:t>
      </w:r>
      <w:r w:rsidR="00DA1B74" w:rsidRPr="00DA1B74">
        <w:rPr>
          <w:rFonts w:ascii="Arial" w:hAnsi="Arial" w:cs="Arial"/>
          <w:vertAlign w:val="subscript"/>
        </w:rPr>
        <w:t>2</w:t>
      </w:r>
      <w:r w:rsidR="00DA1B74">
        <w:rPr>
          <w:rFonts w:ascii="Arial" w:hAnsi="Arial" w:cs="Arial"/>
        </w:rPr>
        <w:t xml:space="preserve">/kWh using generation data </w:t>
      </w:r>
      <w:r w:rsidR="00412A9E">
        <w:rPr>
          <w:rFonts w:ascii="Arial" w:hAnsi="Arial" w:cs="Arial"/>
        </w:rPr>
        <w:t>from the ZNIs diesel plants</w:t>
      </w:r>
      <w:r w:rsidR="00DA1B74">
        <w:rPr>
          <w:rFonts w:ascii="Arial" w:hAnsi="Arial" w:cs="Arial"/>
        </w:rPr>
        <w:t>.</w:t>
      </w:r>
    </w:p>
    <w:p w14:paraId="51BAA514" w14:textId="77777777" w:rsidR="003E6B2A" w:rsidRPr="00F26752" w:rsidRDefault="00F15627" w:rsidP="00997B4E">
      <w:pPr>
        <w:pStyle w:val="ListParagraph"/>
        <w:numPr>
          <w:ilvl w:val="2"/>
          <w:numId w:val="5"/>
        </w:numPr>
        <w:tabs>
          <w:tab w:val="num" w:pos="9306"/>
        </w:tabs>
        <w:spacing w:after="120" w:line="240" w:lineRule="auto"/>
        <w:contextualSpacing w:val="0"/>
        <w:jc w:val="both"/>
        <w:rPr>
          <w:rFonts w:ascii="Arial" w:hAnsi="Arial" w:cs="Arial"/>
        </w:rPr>
      </w:pPr>
      <w:r w:rsidRPr="00F26752">
        <w:rPr>
          <w:rFonts w:ascii="Arial" w:hAnsi="Arial" w:cs="Arial"/>
          <w:b/>
        </w:rPr>
        <w:t>Price of CO</w:t>
      </w:r>
      <w:r w:rsidRPr="00F26752">
        <w:rPr>
          <w:rFonts w:ascii="Arial" w:hAnsi="Arial" w:cs="Arial"/>
          <w:b/>
          <w:vertAlign w:val="subscript"/>
        </w:rPr>
        <w:t>2</w:t>
      </w:r>
      <w:r w:rsidRPr="00F26752">
        <w:rPr>
          <w:rFonts w:ascii="Arial" w:hAnsi="Arial" w:cs="Arial"/>
          <w:b/>
        </w:rPr>
        <w:t xml:space="preserve"> Emissions.</w:t>
      </w:r>
      <w:r w:rsidR="00412A9E">
        <w:rPr>
          <w:rFonts w:ascii="Arial" w:hAnsi="Arial" w:cs="Arial"/>
          <w:b/>
        </w:rPr>
        <w:t xml:space="preserve"> </w:t>
      </w:r>
      <w:r w:rsidR="00412A9E">
        <w:rPr>
          <w:rFonts w:ascii="Arial" w:hAnsi="Arial" w:cs="Arial"/>
        </w:rPr>
        <w:t>We assume a carbon price of USD 8 based on the current value on the European Energy Exchange for EU Emissions Allowance</w:t>
      </w:r>
      <w:r w:rsidR="00412A9E">
        <w:rPr>
          <w:rStyle w:val="FootnoteReference"/>
          <w:rFonts w:ascii="Arial" w:hAnsi="Arial" w:cs="Arial"/>
        </w:rPr>
        <w:footnoteReference w:id="14"/>
      </w:r>
      <w:r w:rsidR="00133BED" w:rsidRPr="00F26752">
        <w:rPr>
          <w:rFonts w:ascii="Arial" w:hAnsi="Arial" w:cs="Arial"/>
        </w:rPr>
        <w:t>.</w:t>
      </w:r>
      <w:r w:rsidR="00A02020">
        <w:rPr>
          <w:rFonts w:ascii="Arial" w:hAnsi="Arial" w:cs="Arial"/>
        </w:rPr>
        <w:t xml:space="preserve"> Furthermore, we assume that the projected carbon prices during the life span of the project will follow the estimations made by 2015 Carbon Dioxide Price Forecast from Synapse Energy Economics</w:t>
      </w:r>
      <w:r w:rsidR="00A02020">
        <w:rPr>
          <w:rStyle w:val="FootnoteReference"/>
          <w:rFonts w:ascii="Arial" w:hAnsi="Arial" w:cs="Arial"/>
        </w:rPr>
        <w:footnoteReference w:id="15"/>
      </w:r>
      <w:r w:rsidR="00A02020">
        <w:rPr>
          <w:rFonts w:ascii="Arial" w:hAnsi="Arial" w:cs="Arial"/>
        </w:rPr>
        <w:t>.</w:t>
      </w:r>
    </w:p>
    <w:p w14:paraId="005BD174" w14:textId="77777777" w:rsidR="003E6B2A" w:rsidRPr="00F26752" w:rsidRDefault="003E6B2A" w:rsidP="00997B4E">
      <w:pPr>
        <w:spacing w:after="120" w:line="240" w:lineRule="auto"/>
        <w:ind w:left="720"/>
        <w:jc w:val="both"/>
        <w:rPr>
          <w:rFonts w:ascii="Arial" w:hAnsi="Arial" w:cs="Arial"/>
          <w:b/>
          <w:u w:val="single"/>
        </w:rPr>
      </w:pPr>
      <w:r w:rsidRPr="00F26752">
        <w:rPr>
          <w:rFonts w:ascii="Arial" w:hAnsi="Arial" w:cs="Arial"/>
          <w:b/>
          <w:u w:val="single"/>
        </w:rPr>
        <w:t>Assumptions regarding the implementation of the program</w:t>
      </w:r>
    </w:p>
    <w:p w14:paraId="5D7EF2CE" w14:textId="77777777" w:rsidR="003E6B2A" w:rsidRPr="00F26752" w:rsidRDefault="003E6B2A" w:rsidP="00997B4E">
      <w:pPr>
        <w:pStyle w:val="ListParagraph"/>
        <w:numPr>
          <w:ilvl w:val="2"/>
          <w:numId w:val="5"/>
        </w:numPr>
        <w:tabs>
          <w:tab w:val="num" w:pos="9306"/>
        </w:tabs>
        <w:spacing w:after="120" w:line="240" w:lineRule="auto"/>
        <w:contextualSpacing w:val="0"/>
        <w:jc w:val="both"/>
        <w:rPr>
          <w:rFonts w:ascii="Arial" w:hAnsi="Arial" w:cs="Arial"/>
        </w:rPr>
      </w:pPr>
      <w:r w:rsidRPr="00F26752">
        <w:rPr>
          <w:rFonts w:ascii="Arial" w:hAnsi="Arial" w:cs="Arial"/>
          <w:b/>
        </w:rPr>
        <w:t>Disbursement of fund</w:t>
      </w:r>
      <w:r w:rsidR="000925C2" w:rsidRPr="00F26752">
        <w:rPr>
          <w:rFonts w:ascii="Arial" w:hAnsi="Arial" w:cs="Arial"/>
          <w:b/>
        </w:rPr>
        <w:t>s</w:t>
      </w:r>
      <w:r w:rsidRPr="00F26752">
        <w:rPr>
          <w:rFonts w:ascii="Arial" w:hAnsi="Arial" w:cs="Arial"/>
        </w:rPr>
        <w:t>. We assu</w:t>
      </w:r>
      <w:r w:rsidR="00373233">
        <w:rPr>
          <w:rFonts w:ascii="Arial" w:hAnsi="Arial" w:cs="Arial"/>
        </w:rPr>
        <w:t xml:space="preserve">me that the disbursement of the investment will be </w:t>
      </w:r>
      <w:r w:rsidR="006B5550">
        <w:rPr>
          <w:rFonts w:ascii="Arial" w:hAnsi="Arial" w:cs="Arial"/>
        </w:rPr>
        <w:t>made during the four years of the program according to the investments required to satisfy the calculated energy demand for each year, given the programs budget.</w:t>
      </w:r>
    </w:p>
    <w:p w14:paraId="6A35B45B" w14:textId="77777777" w:rsidR="000925C2" w:rsidRPr="00B87C44" w:rsidRDefault="00C205D0" w:rsidP="00997B4E">
      <w:pPr>
        <w:pStyle w:val="ListParagraph"/>
        <w:numPr>
          <w:ilvl w:val="2"/>
          <w:numId w:val="5"/>
        </w:numPr>
        <w:tabs>
          <w:tab w:val="num" w:pos="9306"/>
        </w:tabs>
        <w:spacing w:after="120" w:line="240" w:lineRule="auto"/>
        <w:contextualSpacing w:val="0"/>
        <w:jc w:val="both"/>
        <w:rPr>
          <w:rFonts w:ascii="Arial" w:hAnsi="Arial" w:cs="Arial"/>
        </w:rPr>
      </w:pPr>
      <w:r>
        <w:rPr>
          <w:rFonts w:ascii="Arial" w:hAnsi="Arial" w:cs="Arial"/>
          <w:b/>
        </w:rPr>
        <w:lastRenderedPageBreak/>
        <w:t>Life span of power plants</w:t>
      </w:r>
      <w:r w:rsidR="003E6B2A" w:rsidRPr="00F26752">
        <w:rPr>
          <w:rFonts w:ascii="Arial" w:hAnsi="Arial" w:cs="Arial"/>
        </w:rPr>
        <w:t xml:space="preserve">. The timespan to </w:t>
      </w:r>
      <w:r w:rsidR="00F26752" w:rsidRPr="00F26752">
        <w:rPr>
          <w:rFonts w:ascii="Arial" w:hAnsi="Arial" w:cs="Arial"/>
        </w:rPr>
        <w:t xml:space="preserve">analyze the benefits will be </w:t>
      </w:r>
      <w:r w:rsidRPr="00B87C44">
        <w:rPr>
          <w:rFonts w:ascii="Arial" w:hAnsi="Arial" w:cs="Arial"/>
        </w:rPr>
        <w:t>25</w:t>
      </w:r>
      <w:r w:rsidR="00F26752" w:rsidRPr="00B87C44">
        <w:rPr>
          <w:rFonts w:ascii="Arial" w:hAnsi="Arial" w:cs="Arial"/>
        </w:rPr>
        <w:t> </w:t>
      </w:r>
      <w:r w:rsidR="003E6B2A" w:rsidRPr="00B87C44">
        <w:rPr>
          <w:rFonts w:ascii="Arial" w:hAnsi="Arial" w:cs="Arial"/>
        </w:rPr>
        <w:t xml:space="preserve">years, which is </w:t>
      </w:r>
      <w:r w:rsidR="00284AAD" w:rsidRPr="00B87C44">
        <w:rPr>
          <w:rFonts w:ascii="Arial" w:hAnsi="Arial" w:cs="Arial"/>
        </w:rPr>
        <w:t xml:space="preserve">a </w:t>
      </w:r>
      <w:r w:rsidRPr="00B87C44">
        <w:rPr>
          <w:rFonts w:ascii="Arial" w:hAnsi="Arial" w:cs="Arial"/>
        </w:rPr>
        <w:t xml:space="preserve">conservative </w:t>
      </w:r>
      <w:r w:rsidR="003E6B2A" w:rsidRPr="00B87C44">
        <w:rPr>
          <w:rFonts w:ascii="Arial" w:hAnsi="Arial" w:cs="Arial"/>
        </w:rPr>
        <w:t xml:space="preserve">estimate of the life of </w:t>
      </w:r>
      <w:r w:rsidRPr="00B87C44">
        <w:rPr>
          <w:rFonts w:ascii="Arial" w:hAnsi="Arial" w:cs="Arial"/>
        </w:rPr>
        <w:t xml:space="preserve">solar, SHP and biomass </w:t>
      </w:r>
      <w:r w:rsidR="003E6B2A" w:rsidRPr="00B87C44">
        <w:rPr>
          <w:rFonts w:ascii="Arial" w:hAnsi="Arial" w:cs="Arial"/>
        </w:rPr>
        <w:t>plant</w:t>
      </w:r>
      <w:r w:rsidRPr="00B87C44">
        <w:rPr>
          <w:rFonts w:ascii="Arial" w:hAnsi="Arial" w:cs="Arial"/>
        </w:rPr>
        <w:t>s</w:t>
      </w:r>
      <w:r w:rsidR="00597A07" w:rsidRPr="00B87C44">
        <w:rPr>
          <w:rStyle w:val="FootnoteReference"/>
          <w:rFonts w:ascii="Arial" w:hAnsi="Arial" w:cs="Arial"/>
        </w:rPr>
        <w:footnoteReference w:id="16"/>
      </w:r>
      <w:r w:rsidR="000925C2" w:rsidRPr="00B87C44">
        <w:rPr>
          <w:rFonts w:ascii="Arial" w:hAnsi="Arial" w:cs="Arial"/>
        </w:rPr>
        <w:t>.</w:t>
      </w:r>
      <w:r w:rsidRPr="00B87C44">
        <w:rPr>
          <w:rFonts w:ascii="Arial" w:hAnsi="Arial" w:cs="Arial"/>
        </w:rPr>
        <w:t xml:space="preserve"> The reinvestment cost for diesel plants are incorporated in the investment and operational costs</w:t>
      </w:r>
      <w:r w:rsidR="00284AAD" w:rsidRPr="00B87C44">
        <w:rPr>
          <w:rFonts w:ascii="Arial" w:hAnsi="Arial" w:cs="Arial"/>
        </w:rPr>
        <w:t>.</w:t>
      </w:r>
    </w:p>
    <w:p w14:paraId="29550863" w14:textId="77777777" w:rsidR="00552128" w:rsidRDefault="000925C2" w:rsidP="00997B4E">
      <w:pPr>
        <w:pStyle w:val="ListParagraph"/>
        <w:numPr>
          <w:ilvl w:val="2"/>
          <w:numId w:val="5"/>
        </w:numPr>
        <w:tabs>
          <w:tab w:val="num" w:pos="9306"/>
        </w:tabs>
        <w:spacing w:after="120" w:line="240" w:lineRule="auto"/>
        <w:contextualSpacing w:val="0"/>
        <w:jc w:val="both"/>
        <w:rPr>
          <w:rFonts w:ascii="Arial" w:hAnsi="Arial" w:cs="Arial"/>
        </w:rPr>
      </w:pPr>
      <w:r w:rsidRPr="00B87C44">
        <w:rPr>
          <w:rFonts w:ascii="Arial" w:hAnsi="Arial" w:cs="Arial"/>
          <w:b/>
        </w:rPr>
        <w:t>Macroeconomic Framework</w:t>
      </w:r>
      <w:r w:rsidRPr="00B87C44">
        <w:rPr>
          <w:rFonts w:ascii="Arial" w:hAnsi="Arial" w:cs="Arial"/>
        </w:rPr>
        <w:t>. For the benefits estimated in this analysis to</w:t>
      </w:r>
      <w:r w:rsidRPr="00F26752">
        <w:rPr>
          <w:rFonts w:ascii="Arial" w:hAnsi="Arial" w:cs="Arial"/>
        </w:rPr>
        <w:t xml:space="preserve"> be accomplished, it is assumed that the economy of the country will keep a framework that ensures appropriate conditions for consumption and investment, both public and private.</w:t>
      </w:r>
    </w:p>
    <w:p w14:paraId="1C7458E6" w14:textId="6168C397" w:rsidR="00D6523C" w:rsidRDefault="00D6523C" w:rsidP="00997B4E">
      <w:pPr>
        <w:pStyle w:val="ListParagraph"/>
        <w:numPr>
          <w:ilvl w:val="2"/>
          <w:numId w:val="5"/>
        </w:numPr>
        <w:tabs>
          <w:tab w:val="num" w:pos="9306"/>
        </w:tabs>
        <w:spacing w:after="120" w:line="240" w:lineRule="auto"/>
        <w:contextualSpacing w:val="0"/>
        <w:jc w:val="both"/>
        <w:rPr>
          <w:rFonts w:ascii="Arial" w:hAnsi="Arial" w:cs="Arial"/>
        </w:rPr>
      </w:pPr>
      <w:r>
        <w:rPr>
          <w:rFonts w:ascii="Arial" w:hAnsi="Arial" w:cs="Arial"/>
          <w:b/>
        </w:rPr>
        <w:t>Regulatory Framework</w:t>
      </w:r>
      <w:r w:rsidRPr="00207A95">
        <w:rPr>
          <w:rFonts w:ascii="Arial" w:hAnsi="Arial" w:cs="Arial"/>
        </w:rPr>
        <w:t>.</w:t>
      </w:r>
      <w:r>
        <w:rPr>
          <w:rFonts w:ascii="Arial" w:hAnsi="Arial" w:cs="Arial"/>
        </w:rPr>
        <w:t xml:space="preserve"> This analysis assumes that </w:t>
      </w:r>
      <w:r w:rsidR="008824EF">
        <w:rPr>
          <w:rFonts w:ascii="Arial" w:hAnsi="Arial" w:cs="Arial"/>
        </w:rPr>
        <w:t xml:space="preserve">the new regulatory framework that favors RE investment has already taken place for all localities since year one of the </w:t>
      </w:r>
      <w:proofErr w:type="gramStart"/>
      <w:r w:rsidR="002516CF">
        <w:rPr>
          <w:rFonts w:ascii="Arial" w:hAnsi="Arial" w:cs="Arial"/>
        </w:rPr>
        <w:t>analysis</w:t>
      </w:r>
      <w:proofErr w:type="gramEnd"/>
      <w:r w:rsidR="008824EF">
        <w:rPr>
          <w:rFonts w:ascii="Arial" w:hAnsi="Arial" w:cs="Arial"/>
        </w:rPr>
        <w:t>.</w:t>
      </w:r>
    </w:p>
    <w:p w14:paraId="3E2F8512" w14:textId="77777777" w:rsidR="00733014" w:rsidRPr="00F26752" w:rsidRDefault="00733014" w:rsidP="00733014">
      <w:pPr>
        <w:pStyle w:val="ListParagraph"/>
        <w:spacing w:after="120" w:line="240" w:lineRule="auto"/>
        <w:ind w:left="1080"/>
        <w:contextualSpacing w:val="0"/>
        <w:jc w:val="both"/>
        <w:rPr>
          <w:rFonts w:ascii="Arial" w:hAnsi="Arial" w:cs="Arial"/>
        </w:rPr>
      </w:pPr>
    </w:p>
    <w:p w14:paraId="4010EBD7" w14:textId="77777777" w:rsidR="00BA328C" w:rsidRPr="00F26752" w:rsidRDefault="00BA328C" w:rsidP="007C2167">
      <w:pPr>
        <w:spacing w:after="0" w:line="240" w:lineRule="auto"/>
        <w:jc w:val="both"/>
        <w:rPr>
          <w:rFonts w:ascii="Arial" w:hAnsi="Arial" w:cs="Arial"/>
          <w:sz w:val="6"/>
          <w:szCs w:val="6"/>
        </w:rPr>
      </w:pPr>
    </w:p>
    <w:p w14:paraId="71946E41" w14:textId="77777777" w:rsidR="00207A95" w:rsidRDefault="00207A95" w:rsidP="00207A95">
      <w:pPr>
        <w:spacing w:before="360" w:after="120" w:line="240" w:lineRule="auto"/>
        <w:ind w:left="360"/>
        <w:rPr>
          <w:rFonts w:ascii="Arial" w:hAnsi="Arial" w:cs="Arial"/>
          <w:b/>
          <w:smallCaps/>
        </w:rPr>
      </w:pPr>
    </w:p>
    <w:p w14:paraId="6656B53D" w14:textId="77777777" w:rsidR="00207A95" w:rsidRDefault="00207A95" w:rsidP="00207A95">
      <w:pPr>
        <w:spacing w:before="360" w:after="120" w:line="240" w:lineRule="auto"/>
        <w:ind w:left="360"/>
        <w:rPr>
          <w:rFonts w:ascii="Arial" w:hAnsi="Arial" w:cs="Arial"/>
          <w:b/>
          <w:smallCaps/>
        </w:rPr>
      </w:pPr>
    </w:p>
    <w:p w14:paraId="2773C824" w14:textId="77777777" w:rsidR="00207A95" w:rsidRDefault="00207A95" w:rsidP="00207A95">
      <w:pPr>
        <w:spacing w:before="360" w:after="120" w:line="240" w:lineRule="auto"/>
        <w:ind w:left="360"/>
        <w:rPr>
          <w:rFonts w:ascii="Arial" w:hAnsi="Arial" w:cs="Arial"/>
          <w:b/>
          <w:smallCaps/>
        </w:rPr>
      </w:pPr>
    </w:p>
    <w:p w14:paraId="1FD1E4E5" w14:textId="77777777" w:rsidR="00207A95" w:rsidRDefault="00207A95" w:rsidP="00207A95">
      <w:pPr>
        <w:spacing w:before="360" w:after="120" w:line="240" w:lineRule="auto"/>
        <w:ind w:left="360"/>
        <w:rPr>
          <w:rFonts w:ascii="Arial" w:hAnsi="Arial" w:cs="Arial"/>
          <w:b/>
          <w:smallCaps/>
        </w:rPr>
      </w:pPr>
    </w:p>
    <w:p w14:paraId="5246FA89" w14:textId="77777777" w:rsidR="00207A95" w:rsidRDefault="00207A95" w:rsidP="00207A95">
      <w:pPr>
        <w:spacing w:before="360" w:after="120" w:line="240" w:lineRule="auto"/>
        <w:ind w:left="360"/>
        <w:rPr>
          <w:rFonts w:ascii="Arial" w:hAnsi="Arial" w:cs="Arial"/>
          <w:b/>
          <w:smallCaps/>
        </w:rPr>
      </w:pPr>
    </w:p>
    <w:p w14:paraId="08062F57" w14:textId="77777777" w:rsidR="00207A95" w:rsidRDefault="00207A95" w:rsidP="00207A95">
      <w:pPr>
        <w:spacing w:before="360" w:after="120" w:line="240" w:lineRule="auto"/>
        <w:ind w:left="360"/>
        <w:rPr>
          <w:rFonts w:ascii="Arial" w:hAnsi="Arial" w:cs="Arial"/>
          <w:b/>
          <w:smallCaps/>
        </w:rPr>
      </w:pPr>
    </w:p>
    <w:p w14:paraId="7052E0B6" w14:textId="77777777" w:rsidR="00207A95" w:rsidRDefault="00207A95" w:rsidP="00207A95">
      <w:pPr>
        <w:spacing w:before="360" w:after="120" w:line="240" w:lineRule="auto"/>
        <w:ind w:left="360"/>
        <w:rPr>
          <w:rFonts w:ascii="Arial" w:hAnsi="Arial" w:cs="Arial"/>
          <w:b/>
          <w:smallCaps/>
        </w:rPr>
      </w:pPr>
    </w:p>
    <w:p w14:paraId="3683AA97" w14:textId="77777777" w:rsidR="00207A95" w:rsidRDefault="00207A95" w:rsidP="00207A95">
      <w:pPr>
        <w:spacing w:before="360" w:after="120" w:line="240" w:lineRule="auto"/>
        <w:ind w:left="360"/>
        <w:rPr>
          <w:rFonts w:ascii="Arial" w:hAnsi="Arial" w:cs="Arial"/>
          <w:b/>
          <w:smallCaps/>
        </w:rPr>
      </w:pPr>
    </w:p>
    <w:p w14:paraId="74344216" w14:textId="77777777" w:rsidR="00207A95" w:rsidRDefault="00207A95" w:rsidP="00207A95">
      <w:pPr>
        <w:spacing w:before="360" w:after="120" w:line="240" w:lineRule="auto"/>
        <w:ind w:left="360"/>
        <w:rPr>
          <w:rFonts w:ascii="Arial" w:hAnsi="Arial" w:cs="Arial"/>
          <w:b/>
          <w:smallCaps/>
        </w:rPr>
      </w:pPr>
    </w:p>
    <w:p w14:paraId="13D84107" w14:textId="77777777" w:rsidR="00207A95" w:rsidRDefault="00207A95" w:rsidP="00207A95">
      <w:pPr>
        <w:spacing w:before="360" w:after="120" w:line="240" w:lineRule="auto"/>
        <w:ind w:left="360"/>
        <w:rPr>
          <w:rFonts w:ascii="Arial" w:hAnsi="Arial" w:cs="Arial"/>
          <w:b/>
          <w:smallCaps/>
        </w:rPr>
      </w:pPr>
    </w:p>
    <w:p w14:paraId="6A4366C2" w14:textId="77777777" w:rsidR="00207A95" w:rsidRDefault="00207A95" w:rsidP="00207A95">
      <w:pPr>
        <w:spacing w:before="360" w:after="120" w:line="240" w:lineRule="auto"/>
        <w:ind w:left="360"/>
        <w:rPr>
          <w:rFonts w:ascii="Arial" w:hAnsi="Arial" w:cs="Arial"/>
          <w:b/>
          <w:smallCaps/>
        </w:rPr>
      </w:pPr>
    </w:p>
    <w:p w14:paraId="36CA09AD" w14:textId="77777777" w:rsidR="00207A95" w:rsidRDefault="00207A95" w:rsidP="00207A95">
      <w:pPr>
        <w:spacing w:before="360" w:after="120" w:line="240" w:lineRule="auto"/>
        <w:ind w:left="360"/>
        <w:rPr>
          <w:rFonts w:ascii="Arial" w:hAnsi="Arial" w:cs="Arial"/>
          <w:b/>
          <w:smallCaps/>
        </w:rPr>
      </w:pPr>
    </w:p>
    <w:p w14:paraId="7FE20C95" w14:textId="77777777" w:rsidR="00207A95" w:rsidRDefault="00207A95" w:rsidP="00207A95">
      <w:pPr>
        <w:spacing w:before="360" w:after="120" w:line="240" w:lineRule="auto"/>
        <w:ind w:left="360"/>
        <w:rPr>
          <w:rFonts w:ascii="Arial" w:hAnsi="Arial" w:cs="Arial"/>
          <w:b/>
          <w:smallCaps/>
        </w:rPr>
      </w:pPr>
    </w:p>
    <w:p w14:paraId="64346AF3" w14:textId="77777777" w:rsidR="00810CC2" w:rsidRPr="00F26752" w:rsidRDefault="00605BDB" w:rsidP="0038015A">
      <w:pPr>
        <w:numPr>
          <w:ilvl w:val="0"/>
          <w:numId w:val="5"/>
        </w:numPr>
        <w:spacing w:before="360" w:after="120" w:line="240" w:lineRule="auto"/>
        <w:jc w:val="center"/>
        <w:rPr>
          <w:rFonts w:ascii="Arial" w:hAnsi="Arial" w:cs="Arial"/>
          <w:b/>
          <w:smallCaps/>
        </w:rPr>
      </w:pPr>
      <w:r w:rsidRPr="00F26752">
        <w:rPr>
          <w:rFonts w:ascii="Arial" w:hAnsi="Arial" w:cs="Arial"/>
          <w:b/>
          <w:smallCaps/>
        </w:rPr>
        <w:lastRenderedPageBreak/>
        <w:t>Results of the Analysis</w:t>
      </w:r>
    </w:p>
    <w:p w14:paraId="49F7CFEF" w14:textId="77777777" w:rsidR="00515953" w:rsidRPr="00F26752" w:rsidRDefault="00515953" w:rsidP="00997B4E">
      <w:pPr>
        <w:spacing w:before="360" w:after="120" w:line="240" w:lineRule="auto"/>
        <w:jc w:val="both"/>
        <w:rPr>
          <w:rFonts w:ascii="Arial" w:hAnsi="Arial" w:cs="Arial"/>
          <w:b/>
        </w:rPr>
      </w:pPr>
      <w:r w:rsidRPr="00F26752">
        <w:rPr>
          <w:rFonts w:ascii="Arial" w:hAnsi="Arial" w:cs="Arial"/>
          <w:b/>
        </w:rPr>
        <w:t>A. Cost-Effectiveness Analysis</w:t>
      </w:r>
    </w:p>
    <w:p w14:paraId="42F0CDA1" w14:textId="77777777" w:rsidR="00605BDB" w:rsidRPr="00F26752" w:rsidRDefault="006209F2" w:rsidP="00997B4E">
      <w:pPr>
        <w:pStyle w:val="ListParagraph"/>
        <w:numPr>
          <w:ilvl w:val="1"/>
          <w:numId w:val="5"/>
        </w:numPr>
        <w:spacing w:before="360" w:after="120" w:line="240" w:lineRule="auto"/>
        <w:contextualSpacing w:val="0"/>
        <w:jc w:val="both"/>
        <w:rPr>
          <w:rFonts w:ascii="Arial" w:hAnsi="Arial" w:cs="Arial"/>
        </w:rPr>
      </w:pPr>
      <w:r w:rsidRPr="00F26752">
        <w:rPr>
          <w:rFonts w:ascii="Arial" w:hAnsi="Arial" w:cs="Arial"/>
        </w:rPr>
        <w:t>Table 3.1</w:t>
      </w:r>
      <w:r w:rsidR="00605BDB" w:rsidRPr="00F26752">
        <w:rPr>
          <w:rFonts w:ascii="Arial" w:hAnsi="Arial" w:cs="Arial"/>
        </w:rPr>
        <w:t xml:space="preserve"> below presents the results of the cost-effectiveness analysis. It is expected that the </w:t>
      </w:r>
      <w:r w:rsidR="00F161A3">
        <w:rPr>
          <w:rFonts w:ascii="Arial" w:hAnsi="Arial" w:cs="Arial"/>
        </w:rPr>
        <w:t>RE</w:t>
      </w:r>
      <w:r w:rsidR="00605BDB" w:rsidRPr="00F26752">
        <w:rPr>
          <w:rFonts w:ascii="Arial" w:hAnsi="Arial" w:cs="Arial"/>
        </w:rPr>
        <w:t xml:space="preserve"> plants financed by the program will deliver an </w:t>
      </w:r>
      <w:r w:rsidR="007B1353" w:rsidRPr="00F26752">
        <w:rPr>
          <w:rFonts w:ascii="Arial" w:hAnsi="Arial" w:cs="Arial"/>
        </w:rPr>
        <w:t xml:space="preserve">annual average production of </w:t>
      </w:r>
      <w:r w:rsidR="00485151">
        <w:rPr>
          <w:rFonts w:ascii="Arial" w:hAnsi="Arial" w:cs="Arial"/>
        </w:rPr>
        <w:t>55,973</w:t>
      </w:r>
      <w:r w:rsidR="00605BDB" w:rsidRPr="00F26752">
        <w:rPr>
          <w:rFonts w:ascii="Arial" w:hAnsi="Arial" w:cs="Arial"/>
        </w:rPr>
        <w:t xml:space="preserve"> </w:t>
      </w:r>
      <w:proofErr w:type="spellStart"/>
      <w:r w:rsidR="00485151">
        <w:rPr>
          <w:rFonts w:ascii="Arial" w:hAnsi="Arial" w:cs="Arial"/>
        </w:rPr>
        <w:t>G</w:t>
      </w:r>
      <w:r w:rsidR="007B1353" w:rsidRPr="00F26752">
        <w:rPr>
          <w:rFonts w:ascii="Arial" w:hAnsi="Arial" w:cs="Arial"/>
        </w:rPr>
        <w:t>Wh</w:t>
      </w:r>
      <w:proofErr w:type="spellEnd"/>
      <w:r w:rsidR="00605BDB" w:rsidRPr="00F26752">
        <w:rPr>
          <w:rFonts w:ascii="Arial" w:hAnsi="Arial" w:cs="Arial"/>
        </w:rPr>
        <w:t xml:space="preserve"> and </w:t>
      </w:r>
      <w:r w:rsidR="008B2CCD">
        <w:rPr>
          <w:rFonts w:ascii="Arial" w:hAnsi="Arial" w:cs="Arial"/>
        </w:rPr>
        <w:t>1.07</w:t>
      </w:r>
      <w:r w:rsidR="00F26752" w:rsidRPr="00F26752">
        <w:rPr>
          <w:rFonts w:ascii="Arial" w:hAnsi="Arial" w:cs="Arial"/>
        </w:rPr>
        <w:t> </w:t>
      </w:r>
      <w:r w:rsidR="00605BDB" w:rsidRPr="00F26752">
        <w:rPr>
          <w:rFonts w:ascii="Arial" w:hAnsi="Arial" w:cs="Arial"/>
        </w:rPr>
        <w:t xml:space="preserve">MMT of CO2 emissions reductions over the </w:t>
      </w:r>
      <w:r w:rsidR="008B2CCD">
        <w:rPr>
          <w:rFonts w:ascii="Arial" w:hAnsi="Arial" w:cs="Arial"/>
        </w:rPr>
        <w:t>25</w:t>
      </w:r>
      <w:r w:rsidR="007B1353" w:rsidRPr="00F26752">
        <w:rPr>
          <w:rFonts w:ascii="Arial" w:hAnsi="Arial" w:cs="Arial"/>
        </w:rPr>
        <w:t xml:space="preserve"> years of </w:t>
      </w:r>
      <w:r w:rsidR="00605BDB" w:rsidRPr="00F26752">
        <w:rPr>
          <w:rFonts w:ascii="Arial" w:hAnsi="Arial" w:cs="Arial"/>
        </w:rPr>
        <w:t>life of the project.</w:t>
      </w:r>
    </w:p>
    <w:p w14:paraId="2B0D701B" w14:textId="77777777" w:rsidR="007B1353" w:rsidRPr="00F26752" w:rsidRDefault="00736702" w:rsidP="00997B4E">
      <w:pPr>
        <w:pStyle w:val="ListParagraph"/>
        <w:numPr>
          <w:ilvl w:val="1"/>
          <w:numId w:val="5"/>
        </w:numPr>
        <w:spacing w:before="360" w:after="120" w:line="240" w:lineRule="auto"/>
        <w:contextualSpacing w:val="0"/>
        <w:jc w:val="both"/>
        <w:rPr>
          <w:rFonts w:ascii="Arial" w:hAnsi="Arial" w:cs="Arial"/>
        </w:rPr>
      </w:pPr>
      <w:r>
        <w:rPr>
          <w:rFonts w:ascii="Arial" w:hAnsi="Arial" w:cs="Arial"/>
        </w:rPr>
        <w:t>Given this information on emissions reductions over 25 years</w:t>
      </w:r>
      <w:r w:rsidR="00F301C7" w:rsidRPr="00F26752">
        <w:rPr>
          <w:rFonts w:ascii="Arial" w:hAnsi="Arial" w:cs="Arial"/>
        </w:rPr>
        <w:t>, the</w:t>
      </w:r>
      <w:r w:rsidR="0061562D" w:rsidRPr="00F26752">
        <w:rPr>
          <w:rFonts w:ascii="Arial" w:hAnsi="Arial" w:cs="Arial"/>
        </w:rPr>
        <w:t xml:space="preserve"> unit abatement cost </w:t>
      </w:r>
      <w:r w:rsidR="00F301C7" w:rsidRPr="00F26752">
        <w:rPr>
          <w:rFonts w:ascii="Arial" w:hAnsi="Arial" w:cs="Arial"/>
        </w:rPr>
        <w:t>is</w:t>
      </w:r>
      <w:r w:rsidR="0061562D" w:rsidRPr="00F26752">
        <w:rPr>
          <w:rFonts w:ascii="Arial" w:hAnsi="Arial" w:cs="Arial"/>
        </w:rPr>
        <w:t xml:space="preserve"> </w:t>
      </w:r>
      <w:r w:rsidR="00F26752" w:rsidRPr="00F26752">
        <w:rPr>
          <w:rFonts w:ascii="Arial" w:hAnsi="Arial" w:cs="Arial"/>
        </w:rPr>
        <w:t>US$</w:t>
      </w:r>
      <w:r>
        <w:rPr>
          <w:rFonts w:ascii="Arial" w:hAnsi="Arial" w:cs="Arial"/>
        </w:rPr>
        <w:t>9.08</w:t>
      </w:r>
      <w:r w:rsidR="007B1353" w:rsidRPr="00F26752">
        <w:rPr>
          <w:rFonts w:ascii="Arial" w:hAnsi="Arial" w:cs="Arial"/>
        </w:rPr>
        <w:t xml:space="preserve"> </w:t>
      </w:r>
      <w:r w:rsidR="00F301C7" w:rsidRPr="00F26752">
        <w:rPr>
          <w:rFonts w:ascii="Arial" w:hAnsi="Arial" w:cs="Arial"/>
        </w:rPr>
        <w:t xml:space="preserve">per </w:t>
      </w:r>
      <w:r w:rsidR="001E6D8F" w:rsidRPr="00F26752">
        <w:rPr>
          <w:rFonts w:ascii="Arial" w:hAnsi="Arial" w:cs="Arial"/>
        </w:rPr>
        <w:t>tCO</w:t>
      </w:r>
      <w:r w:rsidR="001E6D8F" w:rsidRPr="00F26752">
        <w:rPr>
          <w:rFonts w:ascii="Arial" w:hAnsi="Arial" w:cs="Arial"/>
          <w:vertAlign w:val="subscript"/>
        </w:rPr>
        <w:t xml:space="preserve">2 </w:t>
      </w:r>
      <w:r w:rsidR="001E6D8F" w:rsidRPr="00F26752">
        <w:rPr>
          <w:rFonts w:ascii="Arial" w:hAnsi="Arial" w:cs="Arial"/>
        </w:rPr>
        <w:t>considering</w:t>
      </w:r>
      <w:r w:rsidR="007B1353" w:rsidRPr="00F26752">
        <w:rPr>
          <w:rFonts w:ascii="Arial" w:hAnsi="Arial" w:cs="Arial"/>
        </w:rPr>
        <w:t xml:space="preserve"> total CTF investmen</w:t>
      </w:r>
      <w:r w:rsidR="002B2356" w:rsidRPr="00F26752">
        <w:rPr>
          <w:rFonts w:ascii="Arial" w:hAnsi="Arial" w:cs="Arial"/>
        </w:rPr>
        <w:t xml:space="preserve">t and </w:t>
      </w:r>
      <w:r w:rsidR="00F26752" w:rsidRPr="00F26752">
        <w:rPr>
          <w:rFonts w:ascii="Arial" w:hAnsi="Arial" w:cs="Arial"/>
        </w:rPr>
        <w:t>US$</w:t>
      </w:r>
      <w:r>
        <w:rPr>
          <w:rFonts w:ascii="Arial" w:hAnsi="Arial" w:cs="Arial"/>
        </w:rPr>
        <w:t>26</w:t>
      </w:r>
      <w:r w:rsidR="00C831B1">
        <w:rPr>
          <w:rFonts w:ascii="Arial" w:hAnsi="Arial" w:cs="Arial"/>
        </w:rPr>
        <w:t>.</w:t>
      </w:r>
      <w:r>
        <w:rPr>
          <w:rFonts w:ascii="Arial" w:hAnsi="Arial" w:cs="Arial"/>
        </w:rPr>
        <w:t>2</w:t>
      </w:r>
      <w:r w:rsidR="002B2356" w:rsidRPr="00F26752">
        <w:rPr>
          <w:rFonts w:ascii="Arial" w:hAnsi="Arial" w:cs="Arial"/>
        </w:rPr>
        <w:t xml:space="preserve"> when the total project investment costs are considered.</w:t>
      </w:r>
    </w:p>
    <w:p w14:paraId="3D9294C0" w14:textId="77777777" w:rsidR="006209F2" w:rsidRPr="00F26752" w:rsidRDefault="00A443C3" w:rsidP="0038015A">
      <w:pPr>
        <w:pStyle w:val="ListParagraph"/>
        <w:spacing w:before="360" w:after="120" w:line="240" w:lineRule="auto"/>
        <w:contextualSpacing w:val="0"/>
        <w:jc w:val="center"/>
        <w:rPr>
          <w:rFonts w:ascii="Arial" w:hAnsi="Arial" w:cs="Arial"/>
          <w:b/>
          <w:sz w:val="20"/>
          <w:szCs w:val="20"/>
        </w:rPr>
      </w:pPr>
      <w:r w:rsidRPr="00F26752">
        <w:rPr>
          <w:rFonts w:ascii="Arial" w:hAnsi="Arial" w:cs="Arial"/>
          <w:b/>
          <w:sz w:val="20"/>
          <w:szCs w:val="20"/>
        </w:rPr>
        <w:t>Table 3.1 Results of Cost-Effectiveness Analysis</w:t>
      </w:r>
    </w:p>
    <w:tbl>
      <w:tblPr>
        <w:tblStyle w:val="LightList"/>
        <w:tblW w:w="0" w:type="auto"/>
        <w:jc w:val="center"/>
        <w:tblLayout w:type="fixed"/>
        <w:tblLook w:val="04A0" w:firstRow="1" w:lastRow="0" w:firstColumn="1" w:lastColumn="0" w:noHBand="0" w:noVBand="1"/>
      </w:tblPr>
      <w:tblGrid>
        <w:gridCol w:w="3888"/>
        <w:gridCol w:w="990"/>
        <w:gridCol w:w="3240"/>
        <w:gridCol w:w="738"/>
      </w:tblGrid>
      <w:tr w:rsidR="00D95F35" w:rsidRPr="00F26752" w14:paraId="0732156A" w14:textId="77777777" w:rsidTr="004851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78" w:type="dxa"/>
            <w:gridSpan w:val="2"/>
            <w:tcBorders>
              <w:top w:val="single" w:sz="8" w:space="0" w:color="000000" w:themeColor="text1"/>
            </w:tcBorders>
            <w:shd w:val="clear" w:color="auto" w:fill="17365D" w:themeFill="text2" w:themeFillShade="BF"/>
          </w:tcPr>
          <w:p w14:paraId="3B615487" w14:textId="77777777" w:rsidR="00D95F35" w:rsidRPr="00F26752" w:rsidRDefault="00D95F35" w:rsidP="00997B4E">
            <w:pPr>
              <w:spacing w:after="120"/>
              <w:jc w:val="both"/>
              <w:rPr>
                <w:rFonts w:ascii="Arial" w:hAnsi="Arial" w:cs="Arial"/>
                <w:b w:val="0"/>
                <w:sz w:val="20"/>
                <w:szCs w:val="20"/>
              </w:rPr>
            </w:pPr>
            <w:r w:rsidRPr="00F26752">
              <w:rPr>
                <w:rFonts w:ascii="Arial" w:hAnsi="Arial" w:cs="Arial"/>
                <w:sz w:val="20"/>
                <w:szCs w:val="20"/>
              </w:rPr>
              <w:t>Electricity Generation</w:t>
            </w:r>
          </w:p>
        </w:tc>
        <w:tc>
          <w:tcPr>
            <w:tcW w:w="3978" w:type="dxa"/>
            <w:gridSpan w:val="2"/>
            <w:tcBorders>
              <w:top w:val="single" w:sz="8" w:space="0" w:color="000000" w:themeColor="text1"/>
              <w:bottom w:val="single" w:sz="8" w:space="0" w:color="000000" w:themeColor="text1"/>
            </w:tcBorders>
            <w:shd w:val="clear" w:color="auto" w:fill="17365D" w:themeFill="text2" w:themeFillShade="BF"/>
          </w:tcPr>
          <w:p w14:paraId="1FF4A386" w14:textId="77777777" w:rsidR="00D95F35" w:rsidRPr="00F26752" w:rsidRDefault="00D95F35" w:rsidP="00997B4E">
            <w:pPr>
              <w:spacing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F26752">
              <w:rPr>
                <w:rFonts w:ascii="Arial" w:hAnsi="Arial" w:cs="Arial"/>
                <w:sz w:val="20"/>
                <w:szCs w:val="20"/>
              </w:rPr>
              <w:t>Investment Costs (USD million)</w:t>
            </w:r>
          </w:p>
        </w:tc>
      </w:tr>
      <w:tr w:rsidR="00D95F35" w:rsidRPr="00F26752" w14:paraId="51DD0C1E" w14:textId="77777777" w:rsidTr="00AC6553">
        <w:trPr>
          <w:cnfStyle w:val="000000100000" w:firstRow="0" w:lastRow="0" w:firstColumn="0" w:lastColumn="0" w:oddVBand="0" w:evenVBand="0" w:oddHBand="1" w:evenHBand="0" w:firstRowFirstColumn="0" w:firstRowLastColumn="0" w:lastRowFirstColumn="0" w:lastRowLastColumn="0"/>
          <w:trHeight w:val="201"/>
          <w:jc w:val="center"/>
        </w:trPr>
        <w:tc>
          <w:tcPr>
            <w:cnfStyle w:val="001000000000" w:firstRow="0" w:lastRow="0" w:firstColumn="1" w:lastColumn="0" w:oddVBand="0" w:evenVBand="0" w:oddHBand="0" w:evenHBand="0" w:firstRowFirstColumn="0" w:firstRowLastColumn="0" w:lastRowFirstColumn="0" w:lastRowLastColumn="0"/>
            <w:tcW w:w="3888" w:type="dxa"/>
            <w:tcBorders>
              <w:right w:val="nil"/>
            </w:tcBorders>
            <w:vAlign w:val="center"/>
          </w:tcPr>
          <w:p w14:paraId="276C2CCC" w14:textId="77777777" w:rsidR="00D95F35" w:rsidRPr="00F26752" w:rsidRDefault="00D95F35" w:rsidP="00AC6553">
            <w:pPr>
              <w:spacing w:after="120"/>
              <w:rPr>
                <w:rFonts w:ascii="Arial" w:hAnsi="Arial" w:cs="Arial"/>
                <w:b w:val="0"/>
                <w:bCs w:val="0"/>
                <w:sz w:val="20"/>
                <w:szCs w:val="20"/>
              </w:rPr>
            </w:pPr>
            <w:r w:rsidRPr="00F26752">
              <w:rPr>
                <w:rFonts w:ascii="Arial" w:hAnsi="Arial" w:cs="Arial"/>
                <w:sz w:val="20"/>
                <w:szCs w:val="20"/>
              </w:rPr>
              <w:t xml:space="preserve">MW installed                                                    </w:t>
            </w:r>
          </w:p>
        </w:tc>
        <w:tc>
          <w:tcPr>
            <w:tcW w:w="990" w:type="dxa"/>
            <w:tcBorders>
              <w:left w:val="nil"/>
              <w:right w:val="single" w:sz="4" w:space="0" w:color="auto"/>
            </w:tcBorders>
            <w:vAlign w:val="center"/>
          </w:tcPr>
          <w:p w14:paraId="7BFF44CE" w14:textId="77777777" w:rsidR="00D95F35" w:rsidRPr="00F26752" w:rsidRDefault="00223EE3"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8.79</w:t>
            </w:r>
          </w:p>
        </w:tc>
        <w:tc>
          <w:tcPr>
            <w:tcW w:w="3240" w:type="dxa"/>
            <w:tcBorders>
              <w:left w:val="single" w:sz="4" w:space="0" w:color="auto"/>
              <w:right w:val="nil"/>
            </w:tcBorders>
            <w:vAlign w:val="center"/>
          </w:tcPr>
          <w:p w14:paraId="0AFF839B" w14:textId="77777777" w:rsidR="00D95F35" w:rsidRPr="00F26752" w:rsidRDefault="00D95F35" w:rsidP="00AC6553">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26752">
              <w:rPr>
                <w:rFonts w:ascii="Arial" w:hAnsi="Arial" w:cs="Arial"/>
                <w:b/>
                <w:sz w:val="20"/>
                <w:szCs w:val="20"/>
              </w:rPr>
              <w:t xml:space="preserve">Total Program Investment     </w:t>
            </w:r>
          </w:p>
        </w:tc>
        <w:tc>
          <w:tcPr>
            <w:tcW w:w="738" w:type="dxa"/>
            <w:tcBorders>
              <w:left w:val="nil"/>
            </w:tcBorders>
            <w:vAlign w:val="center"/>
          </w:tcPr>
          <w:p w14:paraId="07689306" w14:textId="77777777" w:rsidR="00D95F35" w:rsidRPr="00F26752" w:rsidRDefault="00223EE3"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28</w:t>
            </w:r>
          </w:p>
        </w:tc>
      </w:tr>
      <w:tr w:rsidR="00D95F35" w:rsidRPr="00F26752" w14:paraId="52C1CD2B" w14:textId="77777777" w:rsidTr="00AC6553">
        <w:trPr>
          <w:trHeight w:val="199"/>
          <w:jc w:val="center"/>
        </w:trPr>
        <w:tc>
          <w:tcPr>
            <w:cnfStyle w:val="001000000000" w:firstRow="0" w:lastRow="0" w:firstColumn="1" w:lastColumn="0" w:oddVBand="0" w:evenVBand="0" w:oddHBand="0" w:evenHBand="0" w:firstRowFirstColumn="0" w:firstRowLastColumn="0" w:lastRowFirstColumn="0" w:lastRowLastColumn="0"/>
            <w:tcW w:w="3888" w:type="dxa"/>
            <w:tcBorders>
              <w:top w:val="single" w:sz="8" w:space="0" w:color="000000" w:themeColor="text1"/>
              <w:bottom w:val="single" w:sz="8" w:space="0" w:color="000000" w:themeColor="text1"/>
              <w:right w:val="nil"/>
            </w:tcBorders>
            <w:vAlign w:val="center"/>
          </w:tcPr>
          <w:p w14:paraId="2826CAEB" w14:textId="77777777" w:rsidR="00D95F35" w:rsidRPr="00F26752" w:rsidRDefault="00D95F35" w:rsidP="00AC6553">
            <w:pPr>
              <w:spacing w:after="120"/>
              <w:rPr>
                <w:rFonts w:ascii="Arial" w:hAnsi="Arial" w:cs="Arial"/>
                <w:b w:val="0"/>
                <w:bCs w:val="0"/>
                <w:sz w:val="20"/>
                <w:szCs w:val="20"/>
              </w:rPr>
            </w:pPr>
            <w:r w:rsidRPr="00F26752">
              <w:rPr>
                <w:rFonts w:ascii="Arial" w:hAnsi="Arial" w:cs="Arial"/>
                <w:sz w:val="20"/>
                <w:szCs w:val="20"/>
              </w:rPr>
              <w:t xml:space="preserve">Total Investment per MW installed (MUSD) </w:t>
            </w:r>
          </w:p>
        </w:tc>
        <w:tc>
          <w:tcPr>
            <w:tcW w:w="990" w:type="dxa"/>
            <w:tcBorders>
              <w:left w:val="nil"/>
              <w:right w:val="single" w:sz="4" w:space="0" w:color="auto"/>
            </w:tcBorders>
            <w:vAlign w:val="center"/>
          </w:tcPr>
          <w:p w14:paraId="7343620C" w14:textId="77777777" w:rsidR="00D95F35" w:rsidRPr="00F26752" w:rsidRDefault="00223EE3" w:rsidP="00AC6553">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3.18</w:t>
            </w:r>
          </w:p>
        </w:tc>
        <w:tc>
          <w:tcPr>
            <w:tcW w:w="3240" w:type="dxa"/>
            <w:tcBorders>
              <w:top w:val="single" w:sz="8" w:space="0" w:color="000000" w:themeColor="text1"/>
              <w:left w:val="single" w:sz="4" w:space="0" w:color="auto"/>
              <w:bottom w:val="single" w:sz="8" w:space="0" w:color="000000" w:themeColor="text1"/>
              <w:right w:val="nil"/>
            </w:tcBorders>
            <w:vAlign w:val="center"/>
          </w:tcPr>
          <w:p w14:paraId="7B156DE7" w14:textId="77777777" w:rsidR="00D95F35" w:rsidRPr="00F26752" w:rsidRDefault="00D95F35" w:rsidP="00AC6553">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26752">
              <w:rPr>
                <w:rFonts w:ascii="Arial" w:hAnsi="Arial" w:cs="Arial"/>
                <w:b/>
                <w:sz w:val="20"/>
                <w:szCs w:val="20"/>
              </w:rPr>
              <w:t>CTF Investment</w:t>
            </w:r>
          </w:p>
        </w:tc>
        <w:tc>
          <w:tcPr>
            <w:tcW w:w="738" w:type="dxa"/>
            <w:tcBorders>
              <w:left w:val="nil"/>
            </w:tcBorders>
            <w:vAlign w:val="center"/>
          </w:tcPr>
          <w:p w14:paraId="00262764" w14:textId="77777777" w:rsidR="00D95F35" w:rsidRPr="00F26752" w:rsidRDefault="00223EE3" w:rsidP="00AC6553">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9.7</w:t>
            </w:r>
          </w:p>
        </w:tc>
      </w:tr>
      <w:tr w:rsidR="00D95F35" w:rsidRPr="00F26752" w14:paraId="4C55CD91" w14:textId="77777777" w:rsidTr="00AC6553">
        <w:trPr>
          <w:cnfStyle w:val="000000100000" w:firstRow="0" w:lastRow="0" w:firstColumn="0" w:lastColumn="0" w:oddVBand="0" w:evenVBand="0" w:oddHBand="1" w:evenHBand="0" w:firstRowFirstColumn="0" w:firstRowLastColumn="0" w:lastRowFirstColumn="0" w:lastRowLastColumn="0"/>
          <w:trHeight w:val="199"/>
          <w:jc w:val="center"/>
        </w:trPr>
        <w:tc>
          <w:tcPr>
            <w:cnfStyle w:val="001000000000" w:firstRow="0" w:lastRow="0" w:firstColumn="1" w:lastColumn="0" w:oddVBand="0" w:evenVBand="0" w:oddHBand="0" w:evenHBand="0" w:firstRowFirstColumn="0" w:firstRowLastColumn="0" w:lastRowFirstColumn="0" w:lastRowLastColumn="0"/>
            <w:tcW w:w="3888" w:type="dxa"/>
            <w:tcBorders>
              <w:right w:val="nil"/>
            </w:tcBorders>
            <w:vAlign w:val="center"/>
          </w:tcPr>
          <w:p w14:paraId="6FE8BA0B" w14:textId="1268D476" w:rsidR="00D95F35" w:rsidRPr="00F26752" w:rsidRDefault="00223EE3" w:rsidP="00BB60D9">
            <w:pPr>
              <w:spacing w:after="120"/>
              <w:rPr>
                <w:rFonts w:ascii="Arial" w:hAnsi="Arial" w:cs="Arial"/>
                <w:b w:val="0"/>
                <w:bCs w:val="0"/>
                <w:sz w:val="20"/>
                <w:szCs w:val="20"/>
              </w:rPr>
            </w:pPr>
            <w:r>
              <w:rPr>
                <w:rFonts w:ascii="Arial" w:hAnsi="Arial" w:cs="Arial"/>
                <w:sz w:val="20"/>
                <w:szCs w:val="20"/>
              </w:rPr>
              <w:t>Average A</w:t>
            </w:r>
            <w:r w:rsidR="00D95F35" w:rsidRPr="00F26752">
              <w:rPr>
                <w:rFonts w:ascii="Arial" w:hAnsi="Arial" w:cs="Arial"/>
                <w:sz w:val="20"/>
                <w:szCs w:val="20"/>
              </w:rPr>
              <w:t>nnual Generation (</w:t>
            </w:r>
            <w:r w:rsidR="00BB60D9">
              <w:rPr>
                <w:rFonts w:ascii="Arial" w:hAnsi="Arial" w:cs="Arial"/>
                <w:sz w:val="20"/>
                <w:szCs w:val="20"/>
              </w:rPr>
              <w:t>MW</w:t>
            </w:r>
            <w:r w:rsidR="00D95F35" w:rsidRPr="00F26752">
              <w:rPr>
                <w:rFonts w:ascii="Arial" w:hAnsi="Arial" w:cs="Arial"/>
                <w:sz w:val="20"/>
                <w:szCs w:val="20"/>
              </w:rPr>
              <w:t xml:space="preserve">h)                          </w:t>
            </w:r>
          </w:p>
        </w:tc>
        <w:tc>
          <w:tcPr>
            <w:tcW w:w="990" w:type="dxa"/>
            <w:tcBorders>
              <w:left w:val="nil"/>
              <w:right w:val="single" w:sz="4" w:space="0" w:color="auto"/>
            </w:tcBorders>
            <w:vAlign w:val="center"/>
          </w:tcPr>
          <w:p w14:paraId="4E3634E7" w14:textId="77777777" w:rsidR="00D95F35" w:rsidRPr="00F26752" w:rsidRDefault="00223EE3"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55,973</w:t>
            </w:r>
          </w:p>
        </w:tc>
        <w:tc>
          <w:tcPr>
            <w:tcW w:w="3240" w:type="dxa"/>
            <w:tcBorders>
              <w:left w:val="single" w:sz="4" w:space="0" w:color="auto"/>
              <w:right w:val="nil"/>
            </w:tcBorders>
            <w:vAlign w:val="center"/>
          </w:tcPr>
          <w:p w14:paraId="109853F8" w14:textId="5395B415" w:rsidR="00D95F35" w:rsidRPr="00F26752" w:rsidRDefault="00223EE3" w:rsidP="00AC6553">
            <w:pPr>
              <w:spacing w:after="12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Leveraged</w:t>
            </w:r>
            <w:r w:rsidR="00D95F35" w:rsidRPr="00F26752">
              <w:rPr>
                <w:rFonts w:ascii="Arial" w:hAnsi="Arial" w:cs="Arial"/>
                <w:b/>
                <w:sz w:val="20"/>
                <w:szCs w:val="20"/>
              </w:rPr>
              <w:t xml:space="preserve"> Investment</w:t>
            </w:r>
            <w:r w:rsidR="003C7C5C">
              <w:rPr>
                <w:rStyle w:val="FootnoteReference"/>
                <w:rFonts w:ascii="Arial" w:hAnsi="Arial" w:cs="Arial"/>
                <w:b/>
                <w:sz w:val="20"/>
                <w:szCs w:val="20"/>
              </w:rPr>
              <w:footnoteReference w:id="17"/>
            </w:r>
          </w:p>
        </w:tc>
        <w:tc>
          <w:tcPr>
            <w:tcW w:w="738" w:type="dxa"/>
            <w:tcBorders>
              <w:left w:val="nil"/>
            </w:tcBorders>
            <w:vAlign w:val="center"/>
          </w:tcPr>
          <w:p w14:paraId="3EDA0099" w14:textId="77777777" w:rsidR="00D95F35" w:rsidRPr="00F26752" w:rsidRDefault="00223EE3"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18.3</w:t>
            </w:r>
          </w:p>
        </w:tc>
      </w:tr>
      <w:tr w:rsidR="00D95F35" w:rsidRPr="00F26752" w14:paraId="518AC7B4" w14:textId="77777777" w:rsidTr="00AC6553">
        <w:trPr>
          <w:trHeight w:val="199"/>
          <w:jc w:val="center"/>
        </w:trPr>
        <w:tc>
          <w:tcPr>
            <w:cnfStyle w:val="001000000000" w:firstRow="0" w:lastRow="0" w:firstColumn="1" w:lastColumn="0" w:oddVBand="0" w:evenVBand="0" w:oddHBand="0" w:evenHBand="0" w:firstRowFirstColumn="0" w:firstRowLastColumn="0" w:lastRowFirstColumn="0" w:lastRowLastColumn="0"/>
            <w:tcW w:w="8856" w:type="dxa"/>
            <w:gridSpan w:val="4"/>
            <w:vAlign w:val="center"/>
          </w:tcPr>
          <w:p w14:paraId="12BC014E" w14:textId="77777777" w:rsidR="00D95F35" w:rsidRPr="00F26752" w:rsidRDefault="00D95F35" w:rsidP="00AC6553">
            <w:pPr>
              <w:spacing w:after="120"/>
              <w:rPr>
                <w:rFonts w:ascii="Arial" w:hAnsi="Arial" w:cs="Arial"/>
                <w:sz w:val="20"/>
                <w:szCs w:val="20"/>
              </w:rPr>
            </w:pPr>
          </w:p>
        </w:tc>
      </w:tr>
      <w:tr w:rsidR="00D95F35" w:rsidRPr="00F26752" w14:paraId="2F625252" w14:textId="77777777" w:rsidTr="00AC6553">
        <w:trPr>
          <w:cnfStyle w:val="000000100000" w:firstRow="0" w:lastRow="0" w:firstColumn="0" w:lastColumn="0" w:oddVBand="0" w:evenVBand="0" w:oddHBand="1"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4878" w:type="dxa"/>
            <w:gridSpan w:val="2"/>
            <w:vAlign w:val="center"/>
          </w:tcPr>
          <w:p w14:paraId="541C3156" w14:textId="77777777" w:rsidR="00D95F35" w:rsidRPr="00F26752" w:rsidRDefault="00223EE3" w:rsidP="00223EE3">
            <w:pPr>
              <w:spacing w:after="120"/>
              <w:rPr>
                <w:rFonts w:ascii="Arial" w:hAnsi="Arial" w:cs="Arial"/>
                <w:b w:val="0"/>
                <w:bCs w:val="0"/>
                <w:sz w:val="20"/>
                <w:szCs w:val="20"/>
              </w:rPr>
            </w:pPr>
            <w:r>
              <w:rPr>
                <w:rFonts w:ascii="Arial" w:hAnsi="Arial" w:cs="Arial"/>
                <w:sz w:val="20"/>
                <w:szCs w:val="20"/>
              </w:rPr>
              <w:t>Average a</w:t>
            </w:r>
            <w:r w:rsidR="00D95F35" w:rsidRPr="00F26752">
              <w:rPr>
                <w:rFonts w:ascii="Arial" w:hAnsi="Arial" w:cs="Arial"/>
                <w:sz w:val="20"/>
                <w:szCs w:val="20"/>
              </w:rPr>
              <w:t>nnual CO</w:t>
            </w:r>
            <w:r w:rsidR="00D95F35" w:rsidRPr="00F26752">
              <w:rPr>
                <w:rFonts w:ascii="Arial" w:hAnsi="Arial" w:cs="Arial"/>
                <w:sz w:val="20"/>
                <w:szCs w:val="20"/>
                <w:vertAlign w:val="subscript"/>
              </w:rPr>
              <w:t>2</w:t>
            </w:r>
            <w:r w:rsidR="00D95F35" w:rsidRPr="00F26752">
              <w:rPr>
                <w:rFonts w:ascii="Arial" w:hAnsi="Arial" w:cs="Arial"/>
                <w:sz w:val="20"/>
                <w:szCs w:val="20"/>
              </w:rPr>
              <w:t xml:space="preserve"> emissions </w:t>
            </w:r>
            <w:r>
              <w:rPr>
                <w:rFonts w:ascii="Arial" w:hAnsi="Arial" w:cs="Arial"/>
                <w:sz w:val="20"/>
                <w:szCs w:val="20"/>
              </w:rPr>
              <w:t>reduced</w:t>
            </w:r>
            <w:r w:rsidR="00D95F35" w:rsidRPr="00F26752">
              <w:rPr>
                <w:rFonts w:ascii="Arial" w:hAnsi="Arial" w:cs="Arial"/>
                <w:sz w:val="20"/>
                <w:szCs w:val="20"/>
              </w:rPr>
              <w:t xml:space="preserve">   </w:t>
            </w:r>
            <w:r w:rsidR="007A2154">
              <w:rPr>
                <w:rFonts w:ascii="Arial" w:hAnsi="Arial" w:cs="Arial"/>
                <w:sz w:val="20"/>
                <w:szCs w:val="20"/>
              </w:rPr>
              <w:t>(</w:t>
            </w:r>
            <w:r w:rsidR="007A2154" w:rsidRPr="00F26752">
              <w:rPr>
                <w:rFonts w:ascii="Arial" w:hAnsi="Arial" w:cs="Arial"/>
                <w:sz w:val="20"/>
                <w:szCs w:val="20"/>
              </w:rPr>
              <w:t>tCO</w:t>
            </w:r>
            <w:r w:rsidR="007A2154" w:rsidRPr="00F26752">
              <w:rPr>
                <w:rFonts w:ascii="Arial" w:hAnsi="Arial" w:cs="Arial"/>
                <w:sz w:val="20"/>
                <w:szCs w:val="20"/>
                <w:vertAlign w:val="subscript"/>
              </w:rPr>
              <w:t>2</w:t>
            </w:r>
            <w:r w:rsidR="007A2154">
              <w:rPr>
                <w:rFonts w:ascii="Arial" w:hAnsi="Arial" w:cs="Arial"/>
                <w:sz w:val="20"/>
                <w:szCs w:val="20"/>
              </w:rPr>
              <w:t>)</w:t>
            </w:r>
            <w:r w:rsidR="00D95F35" w:rsidRPr="00F26752">
              <w:rPr>
                <w:rFonts w:ascii="Arial" w:hAnsi="Arial" w:cs="Arial"/>
                <w:sz w:val="20"/>
                <w:szCs w:val="20"/>
              </w:rPr>
              <w:t xml:space="preserve">                   </w:t>
            </w:r>
            <w:r w:rsidR="00AC6553">
              <w:rPr>
                <w:rFonts w:ascii="Arial" w:hAnsi="Arial" w:cs="Arial"/>
                <w:sz w:val="20"/>
                <w:szCs w:val="20"/>
              </w:rPr>
              <w:t xml:space="preserve">            </w:t>
            </w:r>
          </w:p>
        </w:tc>
        <w:tc>
          <w:tcPr>
            <w:tcW w:w="3978" w:type="dxa"/>
            <w:gridSpan w:val="2"/>
            <w:vAlign w:val="center"/>
          </w:tcPr>
          <w:p w14:paraId="589D8E20" w14:textId="77777777" w:rsidR="00D95F35" w:rsidRPr="00F26752" w:rsidRDefault="00223EE3" w:rsidP="007A2154">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b/>
                <w:sz w:val="20"/>
                <w:szCs w:val="20"/>
              </w:rPr>
              <w:t>42,741</w:t>
            </w:r>
            <w:r w:rsidR="00AC6553" w:rsidRPr="00F26752">
              <w:rPr>
                <w:rFonts w:ascii="Arial" w:hAnsi="Arial" w:cs="Arial"/>
                <w:sz w:val="20"/>
                <w:szCs w:val="20"/>
              </w:rPr>
              <w:t xml:space="preserve"> </w:t>
            </w:r>
            <w:r w:rsidR="00AC6553">
              <w:rPr>
                <w:rFonts w:ascii="Arial" w:hAnsi="Arial" w:cs="Arial"/>
                <w:sz w:val="20"/>
                <w:szCs w:val="20"/>
              </w:rPr>
              <w:t xml:space="preserve"> </w:t>
            </w:r>
          </w:p>
        </w:tc>
      </w:tr>
      <w:tr w:rsidR="00D95F35" w:rsidRPr="00F26752" w14:paraId="068DEAC6" w14:textId="77777777" w:rsidTr="00AC6553">
        <w:trPr>
          <w:trHeight w:val="106"/>
          <w:jc w:val="center"/>
        </w:trPr>
        <w:tc>
          <w:tcPr>
            <w:cnfStyle w:val="001000000000" w:firstRow="0" w:lastRow="0" w:firstColumn="1" w:lastColumn="0" w:oddVBand="0" w:evenVBand="0" w:oddHBand="0" w:evenHBand="0" w:firstRowFirstColumn="0" w:firstRowLastColumn="0" w:lastRowFirstColumn="0" w:lastRowLastColumn="0"/>
            <w:tcW w:w="4878" w:type="dxa"/>
            <w:gridSpan w:val="2"/>
            <w:vAlign w:val="center"/>
          </w:tcPr>
          <w:p w14:paraId="69FCCE75" w14:textId="77777777" w:rsidR="00D95F35" w:rsidRPr="00F26752" w:rsidRDefault="00D95F35" w:rsidP="00223EE3">
            <w:pPr>
              <w:spacing w:after="120"/>
              <w:rPr>
                <w:rFonts w:ascii="Arial" w:hAnsi="Arial" w:cs="Arial"/>
                <w:b w:val="0"/>
                <w:bCs w:val="0"/>
                <w:sz w:val="20"/>
                <w:szCs w:val="20"/>
              </w:rPr>
            </w:pPr>
            <w:r w:rsidRPr="00F26752">
              <w:rPr>
                <w:rFonts w:ascii="Arial" w:hAnsi="Arial" w:cs="Arial"/>
                <w:sz w:val="20"/>
                <w:szCs w:val="20"/>
              </w:rPr>
              <w:t>Total CO</w:t>
            </w:r>
            <w:r w:rsidRPr="00F26752">
              <w:rPr>
                <w:rFonts w:ascii="Arial" w:hAnsi="Arial" w:cs="Arial"/>
                <w:sz w:val="20"/>
                <w:szCs w:val="20"/>
                <w:vertAlign w:val="subscript"/>
              </w:rPr>
              <w:t>2</w:t>
            </w:r>
            <w:r w:rsidRPr="00F26752">
              <w:rPr>
                <w:rFonts w:ascii="Arial" w:hAnsi="Arial" w:cs="Arial"/>
                <w:sz w:val="20"/>
                <w:szCs w:val="20"/>
              </w:rPr>
              <w:t xml:space="preserve"> emissions </w:t>
            </w:r>
            <w:r w:rsidR="00223EE3">
              <w:rPr>
                <w:rFonts w:ascii="Arial" w:hAnsi="Arial" w:cs="Arial"/>
                <w:sz w:val="20"/>
                <w:szCs w:val="20"/>
              </w:rPr>
              <w:t>reduced</w:t>
            </w:r>
            <w:r w:rsidRPr="00F26752">
              <w:rPr>
                <w:rFonts w:ascii="Arial" w:hAnsi="Arial" w:cs="Arial"/>
                <w:sz w:val="20"/>
                <w:szCs w:val="20"/>
              </w:rPr>
              <w:t xml:space="preserve"> </w:t>
            </w:r>
            <w:r w:rsidR="00223EE3">
              <w:rPr>
                <w:rFonts w:ascii="Arial" w:hAnsi="Arial" w:cs="Arial"/>
                <w:sz w:val="20"/>
                <w:szCs w:val="20"/>
              </w:rPr>
              <w:t>in 25</w:t>
            </w:r>
            <w:r w:rsidRPr="00F26752">
              <w:rPr>
                <w:rFonts w:ascii="Arial" w:hAnsi="Arial" w:cs="Arial"/>
                <w:sz w:val="20"/>
                <w:szCs w:val="20"/>
              </w:rPr>
              <w:t xml:space="preserve"> years</w:t>
            </w:r>
            <w:r w:rsidRPr="00F26752" w:rsidDel="006D1881">
              <w:rPr>
                <w:rFonts w:ascii="Arial" w:hAnsi="Arial" w:cs="Arial"/>
                <w:sz w:val="20"/>
                <w:szCs w:val="20"/>
              </w:rPr>
              <w:t xml:space="preserve"> </w:t>
            </w:r>
            <w:r w:rsidR="007A2154">
              <w:rPr>
                <w:rFonts w:ascii="Arial" w:hAnsi="Arial" w:cs="Arial"/>
                <w:sz w:val="20"/>
                <w:szCs w:val="20"/>
              </w:rPr>
              <w:t xml:space="preserve"> (</w:t>
            </w:r>
            <w:r w:rsidR="007A2154" w:rsidRPr="00F26752">
              <w:rPr>
                <w:rFonts w:ascii="Arial" w:hAnsi="Arial" w:cs="Arial"/>
                <w:sz w:val="20"/>
                <w:szCs w:val="20"/>
              </w:rPr>
              <w:t>tCO</w:t>
            </w:r>
            <w:r w:rsidR="007A2154" w:rsidRPr="00F26752">
              <w:rPr>
                <w:rFonts w:ascii="Arial" w:hAnsi="Arial" w:cs="Arial"/>
                <w:sz w:val="20"/>
                <w:szCs w:val="20"/>
                <w:vertAlign w:val="subscript"/>
              </w:rPr>
              <w:t>2</w:t>
            </w:r>
            <w:r w:rsidR="007A2154">
              <w:rPr>
                <w:rFonts w:ascii="Arial" w:hAnsi="Arial" w:cs="Arial"/>
                <w:sz w:val="20"/>
                <w:szCs w:val="20"/>
              </w:rPr>
              <w:t>)</w:t>
            </w:r>
            <w:r w:rsidRPr="00F26752">
              <w:rPr>
                <w:rFonts w:ascii="Arial" w:hAnsi="Arial" w:cs="Arial"/>
                <w:sz w:val="20"/>
                <w:szCs w:val="20"/>
              </w:rPr>
              <w:t xml:space="preserve">       </w:t>
            </w:r>
          </w:p>
        </w:tc>
        <w:tc>
          <w:tcPr>
            <w:tcW w:w="3978" w:type="dxa"/>
            <w:gridSpan w:val="2"/>
            <w:vAlign w:val="center"/>
          </w:tcPr>
          <w:p w14:paraId="228940F6" w14:textId="77777777" w:rsidR="00D95F35" w:rsidRPr="00F26752" w:rsidRDefault="00223EE3" w:rsidP="007A2154">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b/>
                <w:sz w:val="20"/>
                <w:szCs w:val="20"/>
              </w:rPr>
              <w:t>1,068,524</w:t>
            </w:r>
          </w:p>
        </w:tc>
      </w:tr>
      <w:tr w:rsidR="00D95F35" w:rsidRPr="00F26752" w14:paraId="794775F9" w14:textId="77777777" w:rsidTr="00AC6553">
        <w:trPr>
          <w:cnfStyle w:val="000000100000" w:firstRow="0" w:lastRow="0" w:firstColumn="0" w:lastColumn="0" w:oddVBand="0" w:evenVBand="0" w:oddHBand="1" w:evenHBand="0" w:firstRowFirstColumn="0" w:firstRowLastColumn="0" w:lastRowFirstColumn="0" w:lastRowLastColumn="0"/>
          <w:trHeight w:val="186"/>
          <w:jc w:val="center"/>
        </w:trPr>
        <w:tc>
          <w:tcPr>
            <w:cnfStyle w:val="001000000000" w:firstRow="0" w:lastRow="0" w:firstColumn="1" w:lastColumn="0" w:oddVBand="0" w:evenVBand="0" w:oddHBand="0" w:evenHBand="0" w:firstRowFirstColumn="0" w:firstRowLastColumn="0" w:lastRowFirstColumn="0" w:lastRowLastColumn="0"/>
            <w:tcW w:w="4878" w:type="dxa"/>
            <w:gridSpan w:val="2"/>
            <w:vAlign w:val="center"/>
          </w:tcPr>
          <w:p w14:paraId="0D745366" w14:textId="77777777" w:rsidR="00D95F35" w:rsidRPr="00F26752" w:rsidRDefault="00D95F35" w:rsidP="00223EE3">
            <w:pPr>
              <w:spacing w:after="120"/>
              <w:rPr>
                <w:rFonts w:ascii="Arial" w:hAnsi="Arial" w:cs="Arial"/>
                <w:b w:val="0"/>
                <w:bCs w:val="0"/>
                <w:sz w:val="20"/>
                <w:szCs w:val="20"/>
              </w:rPr>
            </w:pPr>
            <w:r w:rsidRPr="00F26752">
              <w:rPr>
                <w:rFonts w:ascii="Arial" w:hAnsi="Arial" w:cs="Arial"/>
                <w:sz w:val="20"/>
                <w:szCs w:val="20"/>
              </w:rPr>
              <w:t xml:space="preserve">CTF cost per emission </w:t>
            </w:r>
            <w:r w:rsidR="00223EE3">
              <w:rPr>
                <w:rFonts w:ascii="Arial" w:hAnsi="Arial" w:cs="Arial"/>
                <w:sz w:val="20"/>
                <w:szCs w:val="20"/>
              </w:rPr>
              <w:t>reduced</w:t>
            </w:r>
            <w:r w:rsidRPr="00F26752">
              <w:rPr>
                <w:rFonts w:ascii="Arial" w:hAnsi="Arial" w:cs="Arial"/>
                <w:sz w:val="20"/>
                <w:szCs w:val="20"/>
              </w:rPr>
              <w:t xml:space="preserve"> (USD/tCO</w:t>
            </w:r>
            <w:r w:rsidRPr="00F26752">
              <w:rPr>
                <w:rFonts w:ascii="Arial" w:hAnsi="Arial" w:cs="Arial"/>
                <w:sz w:val="20"/>
                <w:szCs w:val="20"/>
                <w:vertAlign w:val="subscript"/>
              </w:rPr>
              <w:t>2</w:t>
            </w:r>
            <w:r w:rsidRPr="00F26752">
              <w:rPr>
                <w:rFonts w:ascii="Arial" w:hAnsi="Arial" w:cs="Arial"/>
                <w:sz w:val="20"/>
                <w:szCs w:val="20"/>
              </w:rPr>
              <w:t xml:space="preserve">)                          </w:t>
            </w:r>
          </w:p>
        </w:tc>
        <w:tc>
          <w:tcPr>
            <w:tcW w:w="3978" w:type="dxa"/>
            <w:gridSpan w:val="2"/>
            <w:vAlign w:val="center"/>
          </w:tcPr>
          <w:p w14:paraId="42B01CA3" w14:textId="77777777" w:rsidR="00D95F35" w:rsidRPr="00F26752" w:rsidRDefault="008B2CCD" w:rsidP="00AC6553">
            <w:pPr>
              <w:spacing w:after="120"/>
              <w:jc w:val="right"/>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Pr>
                <w:rFonts w:ascii="Arial" w:hAnsi="Arial" w:cs="Arial"/>
                <w:b/>
                <w:sz w:val="20"/>
                <w:szCs w:val="20"/>
              </w:rPr>
              <w:t>9.08</w:t>
            </w:r>
          </w:p>
        </w:tc>
      </w:tr>
      <w:tr w:rsidR="00D95F35" w:rsidRPr="00F26752" w:rsidDel="00CA0667" w14:paraId="03A282A8" w14:textId="77777777" w:rsidTr="00AC6553">
        <w:trPr>
          <w:trHeight w:val="186"/>
          <w:jc w:val="center"/>
        </w:trPr>
        <w:tc>
          <w:tcPr>
            <w:cnfStyle w:val="001000000000" w:firstRow="0" w:lastRow="0" w:firstColumn="1" w:lastColumn="0" w:oddVBand="0" w:evenVBand="0" w:oddHBand="0" w:evenHBand="0" w:firstRowFirstColumn="0" w:firstRowLastColumn="0" w:lastRowFirstColumn="0" w:lastRowLastColumn="0"/>
            <w:tcW w:w="4878" w:type="dxa"/>
            <w:gridSpan w:val="2"/>
            <w:vAlign w:val="center"/>
          </w:tcPr>
          <w:p w14:paraId="4585CCB7" w14:textId="77777777" w:rsidR="00D95F35" w:rsidRPr="00F26752" w:rsidDel="00CA0667" w:rsidRDefault="00D95F35" w:rsidP="00B71316">
            <w:pPr>
              <w:spacing w:after="120"/>
              <w:rPr>
                <w:rFonts w:ascii="Arial" w:hAnsi="Arial" w:cs="Arial"/>
                <w:b w:val="0"/>
                <w:bCs w:val="0"/>
                <w:sz w:val="20"/>
                <w:szCs w:val="20"/>
              </w:rPr>
            </w:pPr>
            <w:r w:rsidRPr="00F26752">
              <w:rPr>
                <w:rFonts w:ascii="Arial" w:hAnsi="Arial" w:cs="Arial"/>
                <w:sz w:val="20"/>
                <w:szCs w:val="20"/>
              </w:rPr>
              <w:t xml:space="preserve">Total investment per emission </w:t>
            </w:r>
            <w:r w:rsidR="00B71316">
              <w:rPr>
                <w:rFonts w:ascii="Arial" w:hAnsi="Arial" w:cs="Arial"/>
                <w:sz w:val="20"/>
                <w:szCs w:val="20"/>
              </w:rPr>
              <w:t>reduced</w:t>
            </w:r>
            <w:r w:rsidRPr="00F26752">
              <w:rPr>
                <w:rFonts w:ascii="Arial" w:hAnsi="Arial" w:cs="Arial"/>
                <w:sz w:val="20"/>
                <w:szCs w:val="20"/>
              </w:rPr>
              <w:t xml:space="preserve"> (USD/tCO</w:t>
            </w:r>
            <w:r w:rsidRPr="00F26752">
              <w:rPr>
                <w:rFonts w:ascii="Arial" w:hAnsi="Arial" w:cs="Arial"/>
                <w:sz w:val="20"/>
                <w:szCs w:val="20"/>
                <w:vertAlign w:val="subscript"/>
              </w:rPr>
              <w:t>2</w:t>
            </w:r>
            <w:r w:rsidRPr="00F26752">
              <w:rPr>
                <w:rFonts w:ascii="Arial" w:hAnsi="Arial" w:cs="Arial"/>
                <w:sz w:val="20"/>
                <w:szCs w:val="20"/>
              </w:rPr>
              <w:t xml:space="preserve">)                          </w:t>
            </w:r>
          </w:p>
        </w:tc>
        <w:tc>
          <w:tcPr>
            <w:tcW w:w="3978" w:type="dxa"/>
            <w:gridSpan w:val="2"/>
            <w:vAlign w:val="center"/>
          </w:tcPr>
          <w:p w14:paraId="390B5AAD" w14:textId="77777777" w:rsidR="00D95F35" w:rsidRPr="00F26752" w:rsidDel="00CA0667" w:rsidRDefault="008B2CCD" w:rsidP="00AC6553">
            <w:pPr>
              <w:spacing w:after="120"/>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Pr>
                <w:rFonts w:ascii="Arial" w:hAnsi="Arial" w:cs="Arial"/>
                <w:b/>
                <w:sz w:val="20"/>
                <w:szCs w:val="20"/>
              </w:rPr>
              <w:t>26.2</w:t>
            </w:r>
          </w:p>
        </w:tc>
      </w:tr>
    </w:tbl>
    <w:p w14:paraId="0C7B186A" w14:textId="77777777" w:rsidR="00D95F35" w:rsidRPr="00F26752" w:rsidRDefault="002B2356" w:rsidP="00EE5C4D">
      <w:pPr>
        <w:pStyle w:val="ListParagraph"/>
        <w:numPr>
          <w:ilvl w:val="1"/>
          <w:numId w:val="5"/>
        </w:numPr>
        <w:spacing w:before="360" w:after="120"/>
        <w:contextualSpacing w:val="0"/>
        <w:jc w:val="both"/>
        <w:rPr>
          <w:rFonts w:ascii="Arial" w:hAnsi="Arial" w:cs="Arial"/>
        </w:rPr>
      </w:pPr>
      <w:r w:rsidRPr="00F26752">
        <w:rPr>
          <w:rFonts w:ascii="Arial" w:hAnsi="Arial" w:cs="Arial"/>
        </w:rPr>
        <w:t xml:space="preserve">Both measures of abatement costs are </w:t>
      </w:r>
      <w:r w:rsidR="00DD0E94">
        <w:rPr>
          <w:rFonts w:ascii="Arial" w:hAnsi="Arial" w:cs="Arial"/>
        </w:rPr>
        <w:t>below the maximum</w:t>
      </w:r>
      <w:r w:rsidRPr="00F26752">
        <w:rPr>
          <w:rFonts w:ascii="Arial" w:hAnsi="Arial" w:cs="Arial"/>
        </w:rPr>
        <w:t xml:space="preserve"> established by the CTF, which is </w:t>
      </w:r>
      <w:r w:rsidR="00F26752" w:rsidRPr="00F26752">
        <w:rPr>
          <w:rFonts w:ascii="Arial" w:hAnsi="Arial" w:cs="Arial"/>
        </w:rPr>
        <w:t>US$</w:t>
      </w:r>
      <w:r w:rsidRPr="00F26752">
        <w:rPr>
          <w:rFonts w:ascii="Arial" w:hAnsi="Arial" w:cs="Arial"/>
        </w:rPr>
        <w:t>200/tCO</w:t>
      </w:r>
      <w:r w:rsidRPr="00F26752">
        <w:rPr>
          <w:rFonts w:ascii="Arial" w:hAnsi="Arial" w:cs="Arial"/>
          <w:vertAlign w:val="subscript"/>
        </w:rPr>
        <w:t>2</w:t>
      </w:r>
      <w:r w:rsidR="00D95F35" w:rsidRPr="00F26752">
        <w:rPr>
          <w:rFonts w:ascii="Arial" w:hAnsi="Arial" w:cs="Arial"/>
        </w:rPr>
        <w:t>.</w:t>
      </w:r>
      <w:r w:rsidRPr="00F26752">
        <w:rPr>
          <w:rFonts w:ascii="Arial" w:hAnsi="Arial" w:cs="Arial"/>
        </w:rPr>
        <w:t xml:space="preserve"> Following these criteria, the project is efficient in terms of maximizing environmental impact in a context of limited resources.</w:t>
      </w:r>
    </w:p>
    <w:p w14:paraId="69644284" w14:textId="77777777" w:rsidR="00D95F35" w:rsidRPr="00F26752" w:rsidRDefault="00D95F35" w:rsidP="00EE5C4D">
      <w:pPr>
        <w:spacing w:before="360" w:after="120"/>
        <w:jc w:val="both"/>
        <w:rPr>
          <w:rFonts w:ascii="Arial" w:hAnsi="Arial" w:cs="Arial"/>
          <w:b/>
        </w:rPr>
      </w:pPr>
      <w:r w:rsidRPr="00F26752">
        <w:rPr>
          <w:rFonts w:ascii="Arial" w:hAnsi="Arial" w:cs="Arial"/>
          <w:b/>
        </w:rPr>
        <w:t>B. Cost-Benefit Analysis</w:t>
      </w:r>
    </w:p>
    <w:p w14:paraId="4658C201" w14:textId="77777777" w:rsidR="00D95F35" w:rsidRPr="00F26752" w:rsidRDefault="00D95F35" w:rsidP="00EE5C4D">
      <w:pPr>
        <w:pStyle w:val="ListParagraph"/>
        <w:numPr>
          <w:ilvl w:val="1"/>
          <w:numId w:val="5"/>
        </w:numPr>
        <w:spacing w:before="360" w:after="120"/>
        <w:contextualSpacing w:val="0"/>
        <w:jc w:val="both"/>
        <w:rPr>
          <w:rFonts w:ascii="Arial" w:hAnsi="Arial" w:cs="Arial"/>
          <w:b/>
        </w:rPr>
      </w:pPr>
      <w:r w:rsidRPr="00F26752">
        <w:rPr>
          <w:rFonts w:ascii="Arial" w:hAnsi="Arial" w:cs="Arial"/>
          <w:b/>
        </w:rPr>
        <w:t xml:space="preserve">Definition of the counterfactual.  </w:t>
      </w:r>
      <w:r w:rsidR="009E3132" w:rsidRPr="00F26752">
        <w:rPr>
          <w:rFonts w:ascii="Arial" w:hAnsi="Arial" w:cs="Arial"/>
        </w:rPr>
        <w:t xml:space="preserve">Since </w:t>
      </w:r>
      <w:r w:rsidR="006F767D">
        <w:rPr>
          <w:rFonts w:ascii="Arial" w:hAnsi="Arial" w:cs="Arial"/>
        </w:rPr>
        <w:t>the objective</w:t>
      </w:r>
      <w:r w:rsidR="009E3132" w:rsidRPr="00F26752">
        <w:rPr>
          <w:rFonts w:ascii="Arial" w:hAnsi="Arial" w:cs="Arial"/>
        </w:rPr>
        <w:t xml:space="preserve"> of the project is to finance the development of </w:t>
      </w:r>
      <w:r w:rsidR="006F767D">
        <w:rPr>
          <w:rFonts w:ascii="Arial" w:hAnsi="Arial" w:cs="Arial"/>
        </w:rPr>
        <w:t>renewable energy generation in the ZNIs</w:t>
      </w:r>
      <w:r w:rsidR="009E3132" w:rsidRPr="00F26752">
        <w:rPr>
          <w:rFonts w:ascii="Arial" w:hAnsi="Arial" w:cs="Arial"/>
        </w:rPr>
        <w:t xml:space="preserve">, </w:t>
      </w:r>
      <w:r w:rsidR="00DC69DF" w:rsidRPr="00F26752">
        <w:rPr>
          <w:rFonts w:ascii="Arial" w:hAnsi="Arial" w:cs="Arial"/>
        </w:rPr>
        <w:t xml:space="preserve">instead of recurring to </w:t>
      </w:r>
      <w:r w:rsidR="006F767D">
        <w:rPr>
          <w:rFonts w:ascii="Arial" w:hAnsi="Arial" w:cs="Arial"/>
        </w:rPr>
        <w:t xml:space="preserve">the </w:t>
      </w:r>
      <w:r w:rsidR="00DC69DF" w:rsidRPr="00F26752">
        <w:rPr>
          <w:rFonts w:ascii="Arial" w:hAnsi="Arial" w:cs="Arial"/>
        </w:rPr>
        <w:t xml:space="preserve">current contaminant </w:t>
      </w:r>
      <w:r w:rsidR="006F767D">
        <w:rPr>
          <w:rFonts w:ascii="Arial" w:hAnsi="Arial" w:cs="Arial"/>
        </w:rPr>
        <w:t>technology that prevails</w:t>
      </w:r>
      <w:r w:rsidR="00DC69DF" w:rsidRPr="00F26752">
        <w:rPr>
          <w:rFonts w:ascii="Arial" w:hAnsi="Arial" w:cs="Arial"/>
        </w:rPr>
        <w:t xml:space="preserve">, </w:t>
      </w:r>
      <w:r w:rsidR="009E3132" w:rsidRPr="00F26752">
        <w:rPr>
          <w:rFonts w:ascii="Arial" w:hAnsi="Arial" w:cs="Arial"/>
        </w:rPr>
        <w:t>we assume a counterfa</w:t>
      </w:r>
      <w:r w:rsidR="00DC69DF" w:rsidRPr="00F26752">
        <w:rPr>
          <w:rFonts w:ascii="Arial" w:hAnsi="Arial" w:cs="Arial"/>
        </w:rPr>
        <w:t xml:space="preserve">ctual that could </w:t>
      </w:r>
      <w:r w:rsidR="006F767D">
        <w:rPr>
          <w:rFonts w:ascii="Arial" w:hAnsi="Arial" w:cs="Arial"/>
        </w:rPr>
        <w:t>represent</w:t>
      </w:r>
      <w:r w:rsidR="00DC69DF" w:rsidRPr="00F26752">
        <w:rPr>
          <w:rFonts w:ascii="Arial" w:hAnsi="Arial" w:cs="Arial"/>
        </w:rPr>
        <w:t xml:space="preserve"> an alternative </w:t>
      </w:r>
      <w:r w:rsidR="006F767D">
        <w:rPr>
          <w:rFonts w:ascii="Arial" w:hAnsi="Arial" w:cs="Arial"/>
        </w:rPr>
        <w:t xml:space="preserve">scenario </w:t>
      </w:r>
      <w:r w:rsidR="00DC69DF" w:rsidRPr="00F26752">
        <w:rPr>
          <w:rFonts w:ascii="Arial" w:hAnsi="Arial" w:cs="Arial"/>
        </w:rPr>
        <w:t>to this investment</w:t>
      </w:r>
      <w:r w:rsidR="009E3132" w:rsidRPr="00F26752">
        <w:rPr>
          <w:rFonts w:ascii="Arial" w:hAnsi="Arial" w:cs="Arial"/>
        </w:rPr>
        <w:t xml:space="preserve">. </w:t>
      </w:r>
      <w:r w:rsidR="00007644" w:rsidRPr="00F26752">
        <w:rPr>
          <w:rFonts w:ascii="Arial" w:hAnsi="Arial" w:cs="Arial"/>
        </w:rPr>
        <w:t xml:space="preserve">We define </w:t>
      </w:r>
      <w:r w:rsidR="00221C7D">
        <w:rPr>
          <w:rFonts w:ascii="Arial" w:hAnsi="Arial" w:cs="Arial"/>
        </w:rPr>
        <w:t>this</w:t>
      </w:r>
      <w:r w:rsidR="00007644" w:rsidRPr="00F26752">
        <w:rPr>
          <w:rFonts w:ascii="Arial" w:hAnsi="Arial" w:cs="Arial"/>
        </w:rPr>
        <w:t xml:space="preserve"> counterfactual as </w:t>
      </w:r>
      <w:r w:rsidR="00221C7D" w:rsidRPr="00F26752">
        <w:rPr>
          <w:rFonts w:ascii="Arial" w:hAnsi="Arial" w:cs="Arial"/>
        </w:rPr>
        <w:t>a</w:t>
      </w:r>
      <w:r w:rsidR="00007644" w:rsidRPr="00F26752">
        <w:rPr>
          <w:rFonts w:ascii="Arial" w:hAnsi="Arial" w:cs="Arial"/>
        </w:rPr>
        <w:t xml:space="preserve"> </w:t>
      </w:r>
      <w:r w:rsidR="006F767D">
        <w:rPr>
          <w:rFonts w:ascii="Arial" w:hAnsi="Arial" w:cs="Arial"/>
        </w:rPr>
        <w:t xml:space="preserve">scenario in which the projected demand of energy is met utilizing </w:t>
      </w:r>
      <w:r w:rsidR="00862361">
        <w:rPr>
          <w:rFonts w:ascii="Arial" w:hAnsi="Arial" w:cs="Arial"/>
        </w:rPr>
        <w:t>diesel plants</w:t>
      </w:r>
      <w:r w:rsidR="006F767D">
        <w:rPr>
          <w:rFonts w:ascii="Arial" w:hAnsi="Arial" w:cs="Arial"/>
        </w:rPr>
        <w:t>.</w:t>
      </w:r>
      <w:r w:rsidR="00007644" w:rsidRPr="00F26752">
        <w:rPr>
          <w:rFonts w:ascii="Arial" w:hAnsi="Arial" w:cs="Arial"/>
        </w:rPr>
        <w:t xml:space="preserve"> </w:t>
      </w:r>
    </w:p>
    <w:p w14:paraId="56178A76" w14:textId="77777777" w:rsidR="00221C7D" w:rsidRPr="00221C7D" w:rsidRDefault="00221C7D" w:rsidP="00221C7D">
      <w:pPr>
        <w:spacing w:before="360" w:after="120"/>
        <w:ind w:firstLine="360"/>
        <w:jc w:val="both"/>
        <w:rPr>
          <w:rFonts w:ascii="Arial" w:hAnsi="Arial" w:cs="Arial"/>
          <w:b/>
          <w:u w:val="single"/>
        </w:rPr>
      </w:pPr>
      <w:r w:rsidRPr="00221C7D">
        <w:rPr>
          <w:rFonts w:ascii="Arial" w:hAnsi="Arial" w:cs="Arial"/>
          <w:b/>
          <w:u w:val="single"/>
        </w:rPr>
        <w:lastRenderedPageBreak/>
        <w:t>Planned Generation and Investments</w:t>
      </w:r>
    </w:p>
    <w:p w14:paraId="6027B27F" w14:textId="77777777" w:rsidR="00221C7D" w:rsidRPr="00F91AFD" w:rsidRDefault="00221C7D" w:rsidP="00EE5C4D">
      <w:pPr>
        <w:pStyle w:val="ListParagraph"/>
        <w:numPr>
          <w:ilvl w:val="1"/>
          <w:numId w:val="5"/>
        </w:numPr>
        <w:spacing w:before="360" w:after="120"/>
        <w:contextualSpacing w:val="0"/>
        <w:jc w:val="both"/>
        <w:rPr>
          <w:rFonts w:ascii="Arial" w:hAnsi="Arial" w:cs="Arial"/>
          <w:b/>
        </w:rPr>
      </w:pPr>
      <w:r>
        <w:rPr>
          <w:rFonts w:ascii="Arial" w:hAnsi="Arial" w:cs="Arial"/>
        </w:rPr>
        <w:t>For the estimation of costs and emissions it is necessary first to estimate the investments required to partially satisfy the energy demand whi</w:t>
      </w:r>
      <w:r w:rsidR="00F91AFD">
        <w:rPr>
          <w:rFonts w:ascii="Arial" w:hAnsi="Arial" w:cs="Arial"/>
        </w:rPr>
        <w:t>ch in turn will define the new installed capacity of diesel and RE plants.</w:t>
      </w:r>
    </w:p>
    <w:p w14:paraId="6DF7A5F9" w14:textId="1923453F" w:rsidR="00F91AFD" w:rsidRPr="00470EC3" w:rsidRDefault="00F91AFD" w:rsidP="00EE5C4D">
      <w:pPr>
        <w:pStyle w:val="ListParagraph"/>
        <w:numPr>
          <w:ilvl w:val="1"/>
          <w:numId w:val="5"/>
        </w:numPr>
        <w:spacing w:before="360" w:after="120"/>
        <w:contextualSpacing w:val="0"/>
        <w:jc w:val="both"/>
        <w:rPr>
          <w:rFonts w:ascii="Arial" w:hAnsi="Arial" w:cs="Arial"/>
          <w:b/>
        </w:rPr>
      </w:pPr>
      <w:r>
        <w:rPr>
          <w:rFonts w:ascii="Arial" w:hAnsi="Arial" w:cs="Arial"/>
        </w:rPr>
        <w:t>Following the assumption that the energy demand will increase at the same rate a</w:t>
      </w:r>
      <w:r w:rsidR="00862361">
        <w:rPr>
          <w:rFonts w:ascii="Arial" w:hAnsi="Arial" w:cs="Arial"/>
        </w:rPr>
        <w:t xml:space="preserve">s the GDP growth, for each of the four years of the program </w:t>
      </w:r>
      <w:r>
        <w:rPr>
          <w:rFonts w:ascii="Arial" w:hAnsi="Arial" w:cs="Arial"/>
        </w:rPr>
        <w:t xml:space="preserve">the required new capacity installed is estimated, starting from the current 158 MW installed. </w:t>
      </w:r>
      <w:r w:rsidR="0043579B">
        <w:rPr>
          <w:rFonts w:ascii="Arial" w:hAnsi="Arial" w:cs="Arial"/>
        </w:rPr>
        <w:t xml:space="preserve">However, given that the generation will be limited by what is invested during the initial four years, we assume that the generation </w:t>
      </w:r>
      <w:r w:rsidR="00470EC3">
        <w:rPr>
          <w:rFonts w:ascii="Arial" w:hAnsi="Arial" w:cs="Arial"/>
        </w:rPr>
        <w:t>capacities of the plants will</w:t>
      </w:r>
      <w:r w:rsidR="0043579B">
        <w:rPr>
          <w:rFonts w:ascii="Arial" w:hAnsi="Arial" w:cs="Arial"/>
        </w:rPr>
        <w:t xml:space="preserve"> only growth until year 2025. Afterwards, the generation wil</w:t>
      </w:r>
      <w:r w:rsidR="00A819D4">
        <w:rPr>
          <w:rFonts w:ascii="Arial" w:hAnsi="Arial" w:cs="Arial"/>
        </w:rPr>
        <w:t>l</w:t>
      </w:r>
      <w:r w:rsidR="0043579B">
        <w:rPr>
          <w:rFonts w:ascii="Arial" w:hAnsi="Arial" w:cs="Arial"/>
        </w:rPr>
        <w:t xml:space="preserve"> remain constant, at its full capacity. The initial growth rate of generation is a combination of new investments and additional hours that </w:t>
      </w:r>
      <w:proofErr w:type="gramStart"/>
      <w:r w:rsidR="0066410F">
        <w:rPr>
          <w:rFonts w:ascii="Arial" w:hAnsi="Arial" w:cs="Arial"/>
        </w:rPr>
        <w:t>growth in response energy demand</w:t>
      </w:r>
      <w:proofErr w:type="gramEnd"/>
      <w:r w:rsidR="0043579B">
        <w:rPr>
          <w:rFonts w:ascii="Arial" w:hAnsi="Arial" w:cs="Arial"/>
        </w:rPr>
        <w:t xml:space="preserve">. </w:t>
      </w:r>
      <w:r>
        <w:rPr>
          <w:rFonts w:ascii="Arial" w:hAnsi="Arial" w:cs="Arial"/>
        </w:rPr>
        <w:t xml:space="preserve">For the scenario with project, this new capacity is distributed as follows (following assumption (v)):30% is going to be met by investments in diesel plants and 70% by investments in RE plants. For the counterfactual scenario, we assume that all new investments </w:t>
      </w:r>
      <w:r w:rsidR="00862361">
        <w:rPr>
          <w:rFonts w:ascii="Arial" w:hAnsi="Arial" w:cs="Arial"/>
        </w:rPr>
        <w:t>will be made on diesel plants.</w:t>
      </w:r>
      <w:r w:rsidR="0043579B">
        <w:rPr>
          <w:rFonts w:ascii="Arial" w:hAnsi="Arial" w:cs="Arial"/>
        </w:rPr>
        <w:t xml:space="preserve"> Table 3.2 presents the evolution of the total cumulative electricity generation during the </w:t>
      </w:r>
      <w:r w:rsidR="00470EC3">
        <w:rPr>
          <w:rFonts w:ascii="Arial" w:hAnsi="Arial" w:cs="Arial"/>
        </w:rPr>
        <w:t>program’s</w:t>
      </w:r>
      <w:r w:rsidR="0043579B">
        <w:rPr>
          <w:rFonts w:ascii="Arial" w:hAnsi="Arial" w:cs="Arial"/>
        </w:rPr>
        <w:t xml:space="preserve"> lifespan. This generation includes diesel and renewable plants, which are distributed as presented in table 2.1.</w:t>
      </w:r>
    </w:p>
    <w:p w14:paraId="09288DD1" w14:textId="02EA1304" w:rsidR="00470EC3" w:rsidRPr="00491E01" w:rsidRDefault="00470EC3" w:rsidP="00470EC3">
      <w:pPr>
        <w:pStyle w:val="ListParagraph"/>
        <w:spacing w:before="360" w:after="120"/>
        <w:ind w:left="360"/>
        <w:contextualSpacing w:val="0"/>
        <w:jc w:val="center"/>
        <w:rPr>
          <w:rFonts w:ascii="Arial" w:hAnsi="Arial" w:cs="Arial"/>
          <w:b/>
        </w:rPr>
      </w:pPr>
      <w:r w:rsidRPr="00491E01">
        <w:rPr>
          <w:rFonts w:ascii="Arial" w:hAnsi="Arial" w:cs="Arial"/>
          <w:b/>
        </w:rPr>
        <w:t xml:space="preserve">Table </w:t>
      </w:r>
      <w:r>
        <w:rPr>
          <w:rFonts w:ascii="Arial" w:hAnsi="Arial" w:cs="Arial"/>
          <w:b/>
        </w:rPr>
        <w:t>3.2</w:t>
      </w:r>
      <w:r w:rsidRPr="00491E01">
        <w:rPr>
          <w:rFonts w:ascii="Arial" w:hAnsi="Arial" w:cs="Arial"/>
          <w:b/>
        </w:rPr>
        <w:t xml:space="preserve"> </w:t>
      </w:r>
      <w:r>
        <w:rPr>
          <w:rFonts w:ascii="Arial" w:hAnsi="Arial" w:cs="Arial"/>
          <w:b/>
        </w:rPr>
        <w:t>Evolution of Cumulative New Generation in ZNI</w:t>
      </w:r>
    </w:p>
    <w:tbl>
      <w:tblPr>
        <w:tblW w:w="5220" w:type="dxa"/>
        <w:jc w:val="center"/>
        <w:tblInd w:w="93" w:type="dxa"/>
        <w:tblLook w:val="04A0" w:firstRow="1" w:lastRow="0" w:firstColumn="1" w:lastColumn="0" w:noHBand="0" w:noVBand="1"/>
      </w:tblPr>
      <w:tblGrid>
        <w:gridCol w:w="1340"/>
        <w:gridCol w:w="1340"/>
        <w:gridCol w:w="1180"/>
        <w:gridCol w:w="1360"/>
      </w:tblGrid>
      <w:tr w:rsidR="00470EC3" w:rsidRPr="00470EC3" w14:paraId="3D245723" w14:textId="77777777" w:rsidTr="00207A95">
        <w:trPr>
          <w:trHeight w:val="300"/>
          <w:jc w:val="center"/>
        </w:trPr>
        <w:tc>
          <w:tcPr>
            <w:tcW w:w="1340" w:type="dxa"/>
            <w:tcBorders>
              <w:top w:val="single" w:sz="4" w:space="0" w:color="auto"/>
              <w:left w:val="single" w:sz="4" w:space="0" w:color="auto"/>
              <w:bottom w:val="single" w:sz="4" w:space="0" w:color="auto"/>
              <w:right w:val="single" w:sz="4" w:space="0" w:color="auto"/>
            </w:tcBorders>
            <w:shd w:val="clear" w:color="auto" w:fill="17365D" w:themeFill="text2" w:themeFillShade="BF"/>
            <w:noWrap/>
            <w:vAlign w:val="bottom"/>
            <w:hideMark/>
          </w:tcPr>
          <w:p w14:paraId="6E95B89D" w14:textId="77777777" w:rsidR="00470EC3" w:rsidRPr="00207A95" w:rsidRDefault="00470EC3" w:rsidP="00470EC3">
            <w:pPr>
              <w:spacing w:after="0" w:line="240" w:lineRule="auto"/>
              <w:jc w:val="center"/>
              <w:rPr>
                <w:rFonts w:ascii="Calibri" w:eastAsia="Times New Roman" w:hAnsi="Calibri" w:cs="Times New Roman"/>
                <w:b/>
                <w:bCs/>
                <w:color w:val="FFFFFF" w:themeColor="background1"/>
              </w:rPr>
            </w:pPr>
            <w:r w:rsidRPr="00207A95">
              <w:rPr>
                <w:rFonts w:ascii="Calibri" w:eastAsia="Times New Roman" w:hAnsi="Calibri" w:cs="Times New Roman"/>
                <w:b/>
                <w:bCs/>
                <w:color w:val="FFFFFF" w:themeColor="background1"/>
              </w:rPr>
              <w:t>Year</w:t>
            </w:r>
          </w:p>
        </w:tc>
        <w:tc>
          <w:tcPr>
            <w:tcW w:w="134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14:paraId="00D84850" w14:textId="77777777" w:rsidR="00470EC3" w:rsidRPr="00207A95" w:rsidRDefault="00470EC3" w:rsidP="00470EC3">
            <w:pPr>
              <w:spacing w:after="0" w:line="240" w:lineRule="auto"/>
              <w:jc w:val="center"/>
              <w:rPr>
                <w:rFonts w:ascii="Calibri" w:eastAsia="Times New Roman" w:hAnsi="Calibri" w:cs="Times New Roman"/>
                <w:b/>
                <w:bCs/>
                <w:color w:val="FFFFFF" w:themeColor="background1"/>
              </w:rPr>
            </w:pPr>
            <w:proofErr w:type="spellStart"/>
            <w:r w:rsidRPr="00207A95">
              <w:rPr>
                <w:rFonts w:ascii="Calibri" w:eastAsia="Times New Roman" w:hAnsi="Calibri" w:cs="Times New Roman"/>
                <w:b/>
                <w:bCs/>
                <w:color w:val="FFFFFF" w:themeColor="background1"/>
              </w:rPr>
              <w:t>kWhr</w:t>
            </w:r>
            <w:proofErr w:type="spellEnd"/>
            <w:r w:rsidRPr="00207A95">
              <w:rPr>
                <w:rFonts w:ascii="Calibri" w:eastAsia="Times New Roman" w:hAnsi="Calibri" w:cs="Times New Roman"/>
                <w:b/>
                <w:bCs/>
                <w:color w:val="FFFFFF" w:themeColor="background1"/>
              </w:rPr>
              <w:t>/year</w:t>
            </w:r>
          </w:p>
        </w:tc>
        <w:tc>
          <w:tcPr>
            <w:tcW w:w="118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14:paraId="045AE07C" w14:textId="77777777" w:rsidR="00470EC3" w:rsidRPr="00207A95" w:rsidRDefault="00470EC3" w:rsidP="00470EC3">
            <w:pPr>
              <w:spacing w:after="0" w:line="240" w:lineRule="auto"/>
              <w:jc w:val="center"/>
              <w:rPr>
                <w:rFonts w:ascii="Calibri" w:eastAsia="Times New Roman" w:hAnsi="Calibri" w:cs="Times New Roman"/>
                <w:b/>
                <w:bCs/>
                <w:color w:val="FFFFFF" w:themeColor="background1"/>
              </w:rPr>
            </w:pPr>
            <w:r w:rsidRPr="00207A95">
              <w:rPr>
                <w:rFonts w:ascii="Calibri" w:eastAsia="Times New Roman" w:hAnsi="Calibri" w:cs="Times New Roman"/>
                <w:b/>
                <w:bCs/>
                <w:color w:val="FFFFFF" w:themeColor="background1"/>
              </w:rPr>
              <w:t>Year</w:t>
            </w:r>
          </w:p>
        </w:tc>
        <w:tc>
          <w:tcPr>
            <w:tcW w:w="1360" w:type="dxa"/>
            <w:tcBorders>
              <w:top w:val="single" w:sz="4" w:space="0" w:color="auto"/>
              <w:left w:val="nil"/>
              <w:bottom w:val="single" w:sz="4" w:space="0" w:color="auto"/>
              <w:right w:val="single" w:sz="4" w:space="0" w:color="auto"/>
            </w:tcBorders>
            <w:shd w:val="clear" w:color="auto" w:fill="17365D" w:themeFill="text2" w:themeFillShade="BF"/>
            <w:noWrap/>
            <w:vAlign w:val="bottom"/>
            <w:hideMark/>
          </w:tcPr>
          <w:p w14:paraId="2D62AA19" w14:textId="77777777" w:rsidR="00470EC3" w:rsidRPr="00207A95" w:rsidRDefault="00470EC3" w:rsidP="00470EC3">
            <w:pPr>
              <w:spacing w:after="0" w:line="240" w:lineRule="auto"/>
              <w:jc w:val="center"/>
              <w:rPr>
                <w:rFonts w:ascii="Calibri" w:eastAsia="Times New Roman" w:hAnsi="Calibri" w:cs="Times New Roman"/>
                <w:b/>
                <w:bCs/>
                <w:color w:val="FFFFFF" w:themeColor="background1"/>
              </w:rPr>
            </w:pPr>
            <w:proofErr w:type="spellStart"/>
            <w:r w:rsidRPr="00207A95">
              <w:rPr>
                <w:rFonts w:ascii="Calibri" w:eastAsia="Times New Roman" w:hAnsi="Calibri" w:cs="Times New Roman"/>
                <w:b/>
                <w:bCs/>
                <w:color w:val="FFFFFF" w:themeColor="background1"/>
              </w:rPr>
              <w:t>kWhr</w:t>
            </w:r>
            <w:proofErr w:type="spellEnd"/>
            <w:r w:rsidRPr="00207A95">
              <w:rPr>
                <w:rFonts w:ascii="Calibri" w:eastAsia="Times New Roman" w:hAnsi="Calibri" w:cs="Times New Roman"/>
                <w:b/>
                <w:bCs/>
                <w:color w:val="FFFFFF" w:themeColor="background1"/>
              </w:rPr>
              <w:t>/year</w:t>
            </w:r>
          </w:p>
        </w:tc>
      </w:tr>
      <w:tr w:rsidR="00470EC3" w:rsidRPr="00470EC3" w14:paraId="5CAB66D0"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62FB7F0"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2016</w:t>
            </w:r>
          </w:p>
        </w:tc>
        <w:tc>
          <w:tcPr>
            <w:tcW w:w="1340" w:type="dxa"/>
            <w:tcBorders>
              <w:top w:val="nil"/>
              <w:left w:val="nil"/>
              <w:bottom w:val="single" w:sz="4" w:space="0" w:color="auto"/>
              <w:right w:val="single" w:sz="4" w:space="0" w:color="auto"/>
            </w:tcBorders>
            <w:shd w:val="clear" w:color="000000" w:fill="FFFFFF"/>
            <w:noWrap/>
            <w:vAlign w:val="bottom"/>
            <w:hideMark/>
          </w:tcPr>
          <w:p w14:paraId="5FB048BA"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13,442,592</w:t>
            </w:r>
          </w:p>
        </w:tc>
        <w:tc>
          <w:tcPr>
            <w:tcW w:w="1180" w:type="dxa"/>
            <w:tcBorders>
              <w:top w:val="nil"/>
              <w:left w:val="nil"/>
              <w:bottom w:val="single" w:sz="4" w:space="0" w:color="auto"/>
              <w:right w:val="single" w:sz="4" w:space="0" w:color="auto"/>
            </w:tcBorders>
            <w:shd w:val="clear" w:color="000000" w:fill="FFFFFF"/>
            <w:noWrap/>
            <w:vAlign w:val="bottom"/>
            <w:hideMark/>
          </w:tcPr>
          <w:p w14:paraId="08E2FFE9"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2029</w:t>
            </w:r>
          </w:p>
        </w:tc>
        <w:tc>
          <w:tcPr>
            <w:tcW w:w="1360" w:type="dxa"/>
            <w:tcBorders>
              <w:top w:val="nil"/>
              <w:left w:val="nil"/>
              <w:bottom w:val="single" w:sz="4" w:space="0" w:color="auto"/>
              <w:right w:val="single" w:sz="4" w:space="0" w:color="auto"/>
            </w:tcBorders>
            <w:shd w:val="clear" w:color="000000" w:fill="FFFFFF"/>
            <w:noWrap/>
            <w:vAlign w:val="bottom"/>
            <w:hideMark/>
          </w:tcPr>
          <w:p w14:paraId="0780362F"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738ADD97"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6942D2E"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2017</w:t>
            </w:r>
          </w:p>
        </w:tc>
        <w:tc>
          <w:tcPr>
            <w:tcW w:w="1340" w:type="dxa"/>
            <w:tcBorders>
              <w:top w:val="nil"/>
              <w:left w:val="nil"/>
              <w:bottom w:val="single" w:sz="4" w:space="0" w:color="auto"/>
              <w:right w:val="single" w:sz="4" w:space="0" w:color="auto"/>
            </w:tcBorders>
            <w:shd w:val="clear" w:color="000000" w:fill="FFFFFF"/>
            <w:noWrap/>
            <w:vAlign w:val="bottom"/>
            <w:hideMark/>
          </w:tcPr>
          <w:p w14:paraId="6D95FB99"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26,885,185</w:t>
            </w:r>
          </w:p>
        </w:tc>
        <w:tc>
          <w:tcPr>
            <w:tcW w:w="1180" w:type="dxa"/>
            <w:tcBorders>
              <w:top w:val="nil"/>
              <w:left w:val="nil"/>
              <w:bottom w:val="single" w:sz="4" w:space="0" w:color="auto"/>
              <w:right w:val="single" w:sz="4" w:space="0" w:color="auto"/>
            </w:tcBorders>
            <w:shd w:val="clear" w:color="000000" w:fill="FFFFFF"/>
            <w:noWrap/>
            <w:vAlign w:val="bottom"/>
            <w:hideMark/>
          </w:tcPr>
          <w:p w14:paraId="2DE21E22"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2030</w:t>
            </w:r>
          </w:p>
        </w:tc>
        <w:tc>
          <w:tcPr>
            <w:tcW w:w="1360" w:type="dxa"/>
            <w:tcBorders>
              <w:top w:val="nil"/>
              <w:left w:val="nil"/>
              <w:bottom w:val="single" w:sz="4" w:space="0" w:color="auto"/>
              <w:right w:val="single" w:sz="4" w:space="0" w:color="auto"/>
            </w:tcBorders>
            <w:shd w:val="clear" w:color="000000" w:fill="FFFFFF"/>
            <w:noWrap/>
            <w:vAlign w:val="bottom"/>
            <w:hideMark/>
          </w:tcPr>
          <w:p w14:paraId="56AADA70"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3F59C9DE"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163E111"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2018</w:t>
            </w:r>
          </w:p>
        </w:tc>
        <w:tc>
          <w:tcPr>
            <w:tcW w:w="1340" w:type="dxa"/>
            <w:tcBorders>
              <w:top w:val="nil"/>
              <w:left w:val="nil"/>
              <w:bottom w:val="single" w:sz="4" w:space="0" w:color="auto"/>
              <w:right w:val="single" w:sz="4" w:space="0" w:color="auto"/>
            </w:tcBorders>
            <w:shd w:val="clear" w:color="000000" w:fill="FFFFFF"/>
            <w:noWrap/>
            <w:vAlign w:val="bottom"/>
            <w:hideMark/>
          </w:tcPr>
          <w:p w14:paraId="5FBE22B7"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46,028,002</w:t>
            </w:r>
          </w:p>
        </w:tc>
        <w:tc>
          <w:tcPr>
            <w:tcW w:w="1180" w:type="dxa"/>
            <w:tcBorders>
              <w:top w:val="nil"/>
              <w:left w:val="nil"/>
              <w:bottom w:val="single" w:sz="4" w:space="0" w:color="auto"/>
              <w:right w:val="single" w:sz="4" w:space="0" w:color="auto"/>
            </w:tcBorders>
            <w:shd w:val="clear" w:color="000000" w:fill="FFFFFF"/>
            <w:noWrap/>
            <w:vAlign w:val="bottom"/>
            <w:hideMark/>
          </w:tcPr>
          <w:p w14:paraId="1C46A2A5"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2031</w:t>
            </w:r>
          </w:p>
        </w:tc>
        <w:tc>
          <w:tcPr>
            <w:tcW w:w="1360" w:type="dxa"/>
            <w:tcBorders>
              <w:top w:val="nil"/>
              <w:left w:val="nil"/>
              <w:bottom w:val="single" w:sz="4" w:space="0" w:color="auto"/>
              <w:right w:val="single" w:sz="4" w:space="0" w:color="auto"/>
            </w:tcBorders>
            <w:shd w:val="clear" w:color="000000" w:fill="FFFFFF"/>
            <w:noWrap/>
            <w:vAlign w:val="bottom"/>
            <w:hideMark/>
          </w:tcPr>
          <w:p w14:paraId="5CDA5773"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591A92BF"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2A2237C"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2019</w:t>
            </w:r>
          </w:p>
        </w:tc>
        <w:tc>
          <w:tcPr>
            <w:tcW w:w="1340" w:type="dxa"/>
            <w:tcBorders>
              <w:top w:val="nil"/>
              <w:left w:val="nil"/>
              <w:bottom w:val="single" w:sz="4" w:space="0" w:color="auto"/>
              <w:right w:val="single" w:sz="4" w:space="0" w:color="auto"/>
            </w:tcBorders>
            <w:shd w:val="clear" w:color="000000" w:fill="FFFFFF"/>
            <w:noWrap/>
            <w:vAlign w:val="bottom"/>
            <w:hideMark/>
          </w:tcPr>
          <w:p w14:paraId="51384415"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66,055,749</w:t>
            </w:r>
          </w:p>
        </w:tc>
        <w:tc>
          <w:tcPr>
            <w:tcW w:w="1180" w:type="dxa"/>
            <w:tcBorders>
              <w:top w:val="nil"/>
              <w:left w:val="nil"/>
              <w:bottom w:val="single" w:sz="4" w:space="0" w:color="auto"/>
              <w:right w:val="single" w:sz="4" w:space="0" w:color="auto"/>
            </w:tcBorders>
            <w:shd w:val="clear" w:color="000000" w:fill="FFFFFF"/>
            <w:noWrap/>
            <w:vAlign w:val="bottom"/>
            <w:hideMark/>
          </w:tcPr>
          <w:p w14:paraId="7698B304"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2032</w:t>
            </w:r>
          </w:p>
        </w:tc>
        <w:tc>
          <w:tcPr>
            <w:tcW w:w="1360" w:type="dxa"/>
            <w:tcBorders>
              <w:top w:val="nil"/>
              <w:left w:val="nil"/>
              <w:bottom w:val="single" w:sz="4" w:space="0" w:color="auto"/>
              <w:right w:val="single" w:sz="4" w:space="0" w:color="auto"/>
            </w:tcBorders>
            <w:shd w:val="clear" w:color="000000" w:fill="FFFFFF"/>
            <w:noWrap/>
            <w:vAlign w:val="bottom"/>
            <w:hideMark/>
          </w:tcPr>
          <w:p w14:paraId="5B18950A"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53C14A9A"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B7C9BBA"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2020</w:t>
            </w:r>
          </w:p>
        </w:tc>
        <w:tc>
          <w:tcPr>
            <w:tcW w:w="1340" w:type="dxa"/>
            <w:tcBorders>
              <w:top w:val="nil"/>
              <w:left w:val="nil"/>
              <w:bottom w:val="single" w:sz="4" w:space="0" w:color="auto"/>
              <w:right w:val="single" w:sz="4" w:space="0" w:color="auto"/>
            </w:tcBorders>
            <w:shd w:val="clear" w:color="000000" w:fill="FFFFFF"/>
            <w:noWrap/>
            <w:vAlign w:val="bottom"/>
            <w:hideMark/>
          </w:tcPr>
          <w:p w14:paraId="266F0F74"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68,081,672</w:t>
            </w:r>
          </w:p>
        </w:tc>
        <w:tc>
          <w:tcPr>
            <w:tcW w:w="1180" w:type="dxa"/>
            <w:tcBorders>
              <w:top w:val="nil"/>
              <w:left w:val="nil"/>
              <w:bottom w:val="single" w:sz="4" w:space="0" w:color="auto"/>
              <w:right w:val="single" w:sz="4" w:space="0" w:color="auto"/>
            </w:tcBorders>
            <w:shd w:val="clear" w:color="000000" w:fill="FFFFFF"/>
            <w:noWrap/>
            <w:vAlign w:val="bottom"/>
            <w:hideMark/>
          </w:tcPr>
          <w:p w14:paraId="0DB0A9BD"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2033</w:t>
            </w:r>
          </w:p>
        </w:tc>
        <w:tc>
          <w:tcPr>
            <w:tcW w:w="1360" w:type="dxa"/>
            <w:tcBorders>
              <w:top w:val="nil"/>
              <w:left w:val="nil"/>
              <w:bottom w:val="single" w:sz="4" w:space="0" w:color="auto"/>
              <w:right w:val="single" w:sz="4" w:space="0" w:color="auto"/>
            </w:tcBorders>
            <w:shd w:val="clear" w:color="000000" w:fill="FFFFFF"/>
            <w:noWrap/>
            <w:vAlign w:val="bottom"/>
            <w:hideMark/>
          </w:tcPr>
          <w:p w14:paraId="4D6C6DE8"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29A4B461"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957D04F"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2021</w:t>
            </w:r>
          </w:p>
        </w:tc>
        <w:tc>
          <w:tcPr>
            <w:tcW w:w="1340" w:type="dxa"/>
            <w:tcBorders>
              <w:top w:val="nil"/>
              <w:left w:val="nil"/>
              <w:bottom w:val="single" w:sz="4" w:space="0" w:color="auto"/>
              <w:right w:val="single" w:sz="4" w:space="0" w:color="auto"/>
            </w:tcBorders>
            <w:shd w:val="clear" w:color="000000" w:fill="FFFFFF"/>
            <w:noWrap/>
            <w:vAlign w:val="bottom"/>
            <w:hideMark/>
          </w:tcPr>
          <w:p w14:paraId="78DF42C8"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70,464,531</w:t>
            </w:r>
          </w:p>
        </w:tc>
        <w:tc>
          <w:tcPr>
            <w:tcW w:w="1180" w:type="dxa"/>
            <w:tcBorders>
              <w:top w:val="nil"/>
              <w:left w:val="nil"/>
              <w:bottom w:val="single" w:sz="4" w:space="0" w:color="auto"/>
              <w:right w:val="single" w:sz="4" w:space="0" w:color="auto"/>
            </w:tcBorders>
            <w:shd w:val="clear" w:color="000000" w:fill="FFFFFF"/>
            <w:noWrap/>
            <w:vAlign w:val="bottom"/>
            <w:hideMark/>
          </w:tcPr>
          <w:p w14:paraId="2811FBED"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2034</w:t>
            </w:r>
          </w:p>
        </w:tc>
        <w:tc>
          <w:tcPr>
            <w:tcW w:w="1360" w:type="dxa"/>
            <w:tcBorders>
              <w:top w:val="nil"/>
              <w:left w:val="nil"/>
              <w:bottom w:val="single" w:sz="4" w:space="0" w:color="auto"/>
              <w:right w:val="single" w:sz="4" w:space="0" w:color="auto"/>
            </w:tcBorders>
            <w:shd w:val="clear" w:color="000000" w:fill="FFFFFF"/>
            <w:noWrap/>
            <w:vAlign w:val="bottom"/>
            <w:hideMark/>
          </w:tcPr>
          <w:p w14:paraId="54FA83F2"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51C3B926"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2EA8C26F"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2022</w:t>
            </w:r>
          </w:p>
        </w:tc>
        <w:tc>
          <w:tcPr>
            <w:tcW w:w="1340" w:type="dxa"/>
            <w:tcBorders>
              <w:top w:val="nil"/>
              <w:left w:val="nil"/>
              <w:bottom w:val="single" w:sz="4" w:space="0" w:color="auto"/>
              <w:right w:val="single" w:sz="4" w:space="0" w:color="auto"/>
            </w:tcBorders>
            <w:shd w:val="clear" w:color="000000" w:fill="FFFFFF"/>
            <w:noWrap/>
            <w:vAlign w:val="bottom"/>
            <w:hideMark/>
          </w:tcPr>
          <w:p w14:paraId="1B37E3F5"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72,930,789</w:t>
            </w:r>
          </w:p>
        </w:tc>
        <w:tc>
          <w:tcPr>
            <w:tcW w:w="1180" w:type="dxa"/>
            <w:tcBorders>
              <w:top w:val="nil"/>
              <w:left w:val="nil"/>
              <w:bottom w:val="single" w:sz="4" w:space="0" w:color="auto"/>
              <w:right w:val="single" w:sz="4" w:space="0" w:color="auto"/>
            </w:tcBorders>
            <w:shd w:val="clear" w:color="000000" w:fill="FFFFFF"/>
            <w:noWrap/>
            <w:vAlign w:val="bottom"/>
            <w:hideMark/>
          </w:tcPr>
          <w:p w14:paraId="4A30FA5B"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2035</w:t>
            </w:r>
          </w:p>
        </w:tc>
        <w:tc>
          <w:tcPr>
            <w:tcW w:w="1360" w:type="dxa"/>
            <w:tcBorders>
              <w:top w:val="nil"/>
              <w:left w:val="nil"/>
              <w:bottom w:val="single" w:sz="4" w:space="0" w:color="auto"/>
              <w:right w:val="single" w:sz="4" w:space="0" w:color="auto"/>
            </w:tcBorders>
            <w:shd w:val="clear" w:color="000000" w:fill="FFFFFF"/>
            <w:noWrap/>
            <w:vAlign w:val="bottom"/>
            <w:hideMark/>
          </w:tcPr>
          <w:p w14:paraId="5401526B"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4E5BE3F7"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5CA2BE52"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2023</w:t>
            </w:r>
          </w:p>
        </w:tc>
        <w:tc>
          <w:tcPr>
            <w:tcW w:w="1340" w:type="dxa"/>
            <w:tcBorders>
              <w:top w:val="nil"/>
              <w:left w:val="nil"/>
              <w:bottom w:val="single" w:sz="4" w:space="0" w:color="auto"/>
              <w:right w:val="single" w:sz="4" w:space="0" w:color="auto"/>
            </w:tcBorders>
            <w:shd w:val="clear" w:color="000000" w:fill="FFFFFF"/>
            <w:noWrap/>
            <w:vAlign w:val="bottom"/>
            <w:hideMark/>
          </w:tcPr>
          <w:p w14:paraId="6A6C2F9F"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75,483,367</w:t>
            </w:r>
          </w:p>
        </w:tc>
        <w:tc>
          <w:tcPr>
            <w:tcW w:w="1180" w:type="dxa"/>
            <w:tcBorders>
              <w:top w:val="nil"/>
              <w:left w:val="nil"/>
              <w:bottom w:val="single" w:sz="4" w:space="0" w:color="auto"/>
              <w:right w:val="single" w:sz="4" w:space="0" w:color="auto"/>
            </w:tcBorders>
            <w:shd w:val="clear" w:color="000000" w:fill="FFFFFF"/>
            <w:noWrap/>
            <w:vAlign w:val="bottom"/>
            <w:hideMark/>
          </w:tcPr>
          <w:p w14:paraId="536BCCD0"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2036</w:t>
            </w:r>
          </w:p>
        </w:tc>
        <w:tc>
          <w:tcPr>
            <w:tcW w:w="1360" w:type="dxa"/>
            <w:tcBorders>
              <w:top w:val="nil"/>
              <w:left w:val="nil"/>
              <w:bottom w:val="single" w:sz="4" w:space="0" w:color="auto"/>
              <w:right w:val="single" w:sz="4" w:space="0" w:color="auto"/>
            </w:tcBorders>
            <w:shd w:val="clear" w:color="000000" w:fill="FFFFFF"/>
            <w:noWrap/>
            <w:vAlign w:val="bottom"/>
            <w:hideMark/>
          </w:tcPr>
          <w:p w14:paraId="699D3089"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34319A81"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6455FA9"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2024</w:t>
            </w:r>
          </w:p>
        </w:tc>
        <w:tc>
          <w:tcPr>
            <w:tcW w:w="1340" w:type="dxa"/>
            <w:tcBorders>
              <w:top w:val="nil"/>
              <w:left w:val="nil"/>
              <w:bottom w:val="single" w:sz="4" w:space="0" w:color="auto"/>
              <w:right w:val="single" w:sz="4" w:space="0" w:color="auto"/>
            </w:tcBorders>
            <w:shd w:val="clear" w:color="000000" w:fill="FFFFFF"/>
            <w:noWrap/>
            <w:vAlign w:val="bottom"/>
            <w:hideMark/>
          </w:tcPr>
          <w:p w14:paraId="1E73A393"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78,125,285</w:t>
            </w:r>
          </w:p>
        </w:tc>
        <w:tc>
          <w:tcPr>
            <w:tcW w:w="1180" w:type="dxa"/>
            <w:tcBorders>
              <w:top w:val="nil"/>
              <w:left w:val="nil"/>
              <w:bottom w:val="single" w:sz="4" w:space="0" w:color="auto"/>
              <w:right w:val="single" w:sz="4" w:space="0" w:color="auto"/>
            </w:tcBorders>
            <w:shd w:val="clear" w:color="000000" w:fill="FFFFFF"/>
            <w:noWrap/>
            <w:vAlign w:val="bottom"/>
            <w:hideMark/>
          </w:tcPr>
          <w:p w14:paraId="5556F553"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2037</w:t>
            </w:r>
          </w:p>
        </w:tc>
        <w:tc>
          <w:tcPr>
            <w:tcW w:w="1360" w:type="dxa"/>
            <w:tcBorders>
              <w:top w:val="nil"/>
              <w:left w:val="nil"/>
              <w:bottom w:val="single" w:sz="4" w:space="0" w:color="auto"/>
              <w:right w:val="single" w:sz="4" w:space="0" w:color="auto"/>
            </w:tcBorders>
            <w:shd w:val="clear" w:color="000000" w:fill="FFFFFF"/>
            <w:noWrap/>
            <w:vAlign w:val="bottom"/>
            <w:hideMark/>
          </w:tcPr>
          <w:p w14:paraId="040E5077"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134DF038"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6E012652"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2025</w:t>
            </w:r>
          </w:p>
        </w:tc>
        <w:tc>
          <w:tcPr>
            <w:tcW w:w="1340" w:type="dxa"/>
            <w:tcBorders>
              <w:top w:val="nil"/>
              <w:left w:val="nil"/>
              <w:bottom w:val="single" w:sz="4" w:space="0" w:color="auto"/>
              <w:right w:val="single" w:sz="4" w:space="0" w:color="auto"/>
            </w:tcBorders>
            <w:shd w:val="clear" w:color="000000" w:fill="FFFFFF"/>
            <w:noWrap/>
            <w:vAlign w:val="bottom"/>
            <w:hideMark/>
          </w:tcPr>
          <w:p w14:paraId="3D28015D"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c>
          <w:tcPr>
            <w:tcW w:w="1180" w:type="dxa"/>
            <w:tcBorders>
              <w:top w:val="nil"/>
              <w:left w:val="nil"/>
              <w:bottom w:val="single" w:sz="4" w:space="0" w:color="auto"/>
              <w:right w:val="single" w:sz="4" w:space="0" w:color="auto"/>
            </w:tcBorders>
            <w:shd w:val="clear" w:color="000000" w:fill="FFFFFF"/>
            <w:noWrap/>
            <w:vAlign w:val="bottom"/>
            <w:hideMark/>
          </w:tcPr>
          <w:p w14:paraId="42C92414"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2038</w:t>
            </w:r>
          </w:p>
        </w:tc>
        <w:tc>
          <w:tcPr>
            <w:tcW w:w="1360" w:type="dxa"/>
            <w:tcBorders>
              <w:top w:val="nil"/>
              <w:left w:val="nil"/>
              <w:bottom w:val="single" w:sz="4" w:space="0" w:color="auto"/>
              <w:right w:val="single" w:sz="4" w:space="0" w:color="auto"/>
            </w:tcBorders>
            <w:shd w:val="clear" w:color="000000" w:fill="FFFFFF"/>
            <w:noWrap/>
            <w:vAlign w:val="bottom"/>
            <w:hideMark/>
          </w:tcPr>
          <w:p w14:paraId="3979DE32"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5F46C125"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00555D5"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2026</w:t>
            </w:r>
          </w:p>
        </w:tc>
        <w:tc>
          <w:tcPr>
            <w:tcW w:w="1340" w:type="dxa"/>
            <w:tcBorders>
              <w:top w:val="nil"/>
              <w:left w:val="nil"/>
              <w:bottom w:val="single" w:sz="4" w:space="0" w:color="auto"/>
              <w:right w:val="single" w:sz="4" w:space="0" w:color="auto"/>
            </w:tcBorders>
            <w:shd w:val="clear" w:color="000000" w:fill="FFFFFF"/>
            <w:noWrap/>
            <w:vAlign w:val="bottom"/>
            <w:hideMark/>
          </w:tcPr>
          <w:p w14:paraId="57BA9CC7"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c>
          <w:tcPr>
            <w:tcW w:w="1180" w:type="dxa"/>
            <w:tcBorders>
              <w:top w:val="nil"/>
              <w:left w:val="nil"/>
              <w:bottom w:val="single" w:sz="4" w:space="0" w:color="auto"/>
              <w:right w:val="single" w:sz="4" w:space="0" w:color="auto"/>
            </w:tcBorders>
            <w:shd w:val="clear" w:color="000000" w:fill="FFFFFF"/>
            <w:noWrap/>
            <w:vAlign w:val="bottom"/>
            <w:hideMark/>
          </w:tcPr>
          <w:p w14:paraId="2D1D5450"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2039</w:t>
            </w:r>
          </w:p>
        </w:tc>
        <w:tc>
          <w:tcPr>
            <w:tcW w:w="1360" w:type="dxa"/>
            <w:tcBorders>
              <w:top w:val="nil"/>
              <w:left w:val="nil"/>
              <w:bottom w:val="single" w:sz="4" w:space="0" w:color="auto"/>
              <w:right w:val="single" w:sz="4" w:space="0" w:color="auto"/>
            </w:tcBorders>
            <w:shd w:val="clear" w:color="000000" w:fill="FFFFFF"/>
            <w:noWrap/>
            <w:vAlign w:val="bottom"/>
            <w:hideMark/>
          </w:tcPr>
          <w:p w14:paraId="5938489E"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2A6B731E"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386C89ED"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2027</w:t>
            </w:r>
          </w:p>
        </w:tc>
        <w:tc>
          <w:tcPr>
            <w:tcW w:w="1340" w:type="dxa"/>
            <w:tcBorders>
              <w:top w:val="nil"/>
              <w:left w:val="nil"/>
              <w:bottom w:val="single" w:sz="4" w:space="0" w:color="auto"/>
              <w:right w:val="single" w:sz="4" w:space="0" w:color="auto"/>
            </w:tcBorders>
            <w:shd w:val="clear" w:color="000000" w:fill="FFFFFF"/>
            <w:noWrap/>
            <w:vAlign w:val="bottom"/>
            <w:hideMark/>
          </w:tcPr>
          <w:p w14:paraId="36F408A3"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c>
          <w:tcPr>
            <w:tcW w:w="1180" w:type="dxa"/>
            <w:tcBorders>
              <w:top w:val="nil"/>
              <w:left w:val="nil"/>
              <w:bottom w:val="single" w:sz="4" w:space="0" w:color="auto"/>
              <w:right w:val="single" w:sz="4" w:space="0" w:color="auto"/>
            </w:tcBorders>
            <w:shd w:val="clear" w:color="000000" w:fill="FFFFFF"/>
            <w:noWrap/>
            <w:vAlign w:val="bottom"/>
            <w:hideMark/>
          </w:tcPr>
          <w:p w14:paraId="4AFC3041"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2040</w:t>
            </w:r>
          </w:p>
        </w:tc>
        <w:tc>
          <w:tcPr>
            <w:tcW w:w="1360" w:type="dxa"/>
            <w:tcBorders>
              <w:top w:val="nil"/>
              <w:left w:val="nil"/>
              <w:bottom w:val="single" w:sz="4" w:space="0" w:color="auto"/>
              <w:right w:val="single" w:sz="4" w:space="0" w:color="auto"/>
            </w:tcBorders>
            <w:shd w:val="clear" w:color="000000" w:fill="FFFFFF"/>
            <w:noWrap/>
            <w:vAlign w:val="bottom"/>
            <w:hideMark/>
          </w:tcPr>
          <w:p w14:paraId="47D3FBB0"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r>
      <w:tr w:rsidR="00470EC3" w:rsidRPr="00470EC3" w14:paraId="37697416" w14:textId="77777777" w:rsidTr="00470EC3">
        <w:trPr>
          <w:trHeight w:val="300"/>
          <w:jc w:val="center"/>
        </w:trPr>
        <w:tc>
          <w:tcPr>
            <w:tcW w:w="1340" w:type="dxa"/>
            <w:tcBorders>
              <w:top w:val="nil"/>
              <w:left w:val="single" w:sz="4" w:space="0" w:color="auto"/>
              <w:bottom w:val="single" w:sz="4" w:space="0" w:color="auto"/>
              <w:right w:val="single" w:sz="4" w:space="0" w:color="auto"/>
            </w:tcBorders>
            <w:shd w:val="clear" w:color="000000" w:fill="FFFFFF"/>
            <w:noWrap/>
            <w:vAlign w:val="bottom"/>
            <w:hideMark/>
          </w:tcPr>
          <w:p w14:paraId="772C1A1D" w14:textId="77777777" w:rsidR="00470EC3" w:rsidRPr="00470EC3" w:rsidRDefault="00470EC3" w:rsidP="00470EC3">
            <w:pPr>
              <w:spacing w:after="0" w:line="240" w:lineRule="auto"/>
              <w:jc w:val="right"/>
              <w:rPr>
                <w:rFonts w:ascii="Arial" w:eastAsia="Times New Roman" w:hAnsi="Arial" w:cs="Arial"/>
                <w:b/>
                <w:bCs/>
                <w:sz w:val="20"/>
                <w:szCs w:val="20"/>
              </w:rPr>
            </w:pPr>
            <w:r w:rsidRPr="00470EC3">
              <w:rPr>
                <w:rFonts w:ascii="Arial" w:eastAsia="Times New Roman" w:hAnsi="Arial" w:cs="Arial"/>
                <w:b/>
                <w:bCs/>
                <w:sz w:val="20"/>
                <w:szCs w:val="20"/>
              </w:rPr>
              <w:t>2028</w:t>
            </w:r>
          </w:p>
        </w:tc>
        <w:tc>
          <w:tcPr>
            <w:tcW w:w="1340" w:type="dxa"/>
            <w:tcBorders>
              <w:top w:val="nil"/>
              <w:left w:val="nil"/>
              <w:bottom w:val="single" w:sz="4" w:space="0" w:color="auto"/>
              <w:right w:val="single" w:sz="4" w:space="0" w:color="auto"/>
            </w:tcBorders>
            <w:shd w:val="clear" w:color="000000" w:fill="FFFFFF"/>
            <w:noWrap/>
            <w:vAlign w:val="bottom"/>
            <w:hideMark/>
          </w:tcPr>
          <w:p w14:paraId="71F2D107" w14:textId="77777777" w:rsidR="00470EC3" w:rsidRPr="00470EC3" w:rsidRDefault="00470EC3" w:rsidP="00470EC3">
            <w:pPr>
              <w:spacing w:after="0" w:line="240" w:lineRule="auto"/>
              <w:jc w:val="right"/>
              <w:rPr>
                <w:rFonts w:ascii="Arial" w:eastAsia="Times New Roman" w:hAnsi="Arial" w:cs="Arial"/>
                <w:sz w:val="20"/>
                <w:szCs w:val="20"/>
              </w:rPr>
            </w:pPr>
            <w:r w:rsidRPr="00470EC3">
              <w:rPr>
                <w:rFonts w:ascii="Arial" w:eastAsia="Times New Roman" w:hAnsi="Arial" w:cs="Arial"/>
                <w:sz w:val="20"/>
                <w:szCs w:val="20"/>
              </w:rPr>
              <w:t>80,859,670</w:t>
            </w:r>
          </w:p>
        </w:tc>
        <w:tc>
          <w:tcPr>
            <w:tcW w:w="1180" w:type="dxa"/>
            <w:tcBorders>
              <w:top w:val="nil"/>
              <w:left w:val="nil"/>
              <w:bottom w:val="single" w:sz="4" w:space="0" w:color="auto"/>
              <w:right w:val="single" w:sz="4" w:space="0" w:color="auto"/>
            </w:tcBorders>
            <w:shd w:val="clear" w:color="auto" w:fill="auto"/>
            <w:noWrap/>
            <w:vAlign w:val="bottom"/>
            <w:hideMark/>
          </w:tcPr>
          <w:p w14:paraId="0B49FB8C" w14:textId="77777777" w:rsidR="00470EC3" w:rsidRPr="00470EC3" w:rsidRDefault="00470EC3" w:rsidP="00470EC3">
            <w:pPr>
              <w:spacing w:after="0" w:line="240" w:lineRule="auto"/>
              <w:rPr>
                <w:rFonts w:ascii="Calibri" w:eastAsia="Times New Roman" w:hAnsi="Calibri" w:cs="Times New Roman"/>
                <w:b/>
                <w:bCs/>
                <w:color w:val="000000"/>
              </w:rPr>
            </w:pPr>
            <w:r w:rsidRPr="00470EC3">
              <w:rPr>
                <w:rFonts w:ascii="Calibri" w:eastAsia="Times New Roman" w:hAnsi="Calibri" w:cs="Times New Roman"/>
                <w:b/>
                <w:bCs/>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043E308" w14:textId="77777777" w:rsidR="00470EC3" w:rsidRPr="00470EC3" w:rsidRDefault="00470EC3" w:rsidP="00470EC3">
            <w:pPr>
              <w:spacing w:after="0" w:line="240" w:lineRule="auto"/>
              <w:rPr>
                <w:rFonts w:ascii="Calibri" w:eastAsia="Times New Roman" w:hAnsi="Calibri" w:cs="Times New Roman"/>
                <w:color w:val="000000"/>
              </w:rPr>
            </w:pPr>
            <w:r w:rsidRPr="00470EC3">
              <w:rPr>
                <w:rFonts w:ascii="Calibri" w:eastAsia="Times New Roman" w:hAnsi="Calibri" w:cs="Times New Roman"/>
                <w:color w:val="000000"/>
              </w:rPr>
              <w:t> </w:t>
            </w:r>
          </w:p>
        </w:tc>
      </w:tr>
    </w:tbl>
    <w:p w14:paraId="3AAFE673" w14:textId="3F62E58C" w:rsidR="00470EC3" w:rsidRPr="00470EC3" w:rsidRDefault="00470EC3" w:rsidP="00470EC3">
      <w:pPr>
        <w:pStyle w:val="ListParagraph"/>
        <w:tabs>
          <w:tab w:val="left" w:pos="1833"/>
        </w:tabs>
        <w:spacing w:before="360" w:after="120"/>
        <w:ind w:left="1833"/>
        <w:contextualSpacing w:val="0"/>
        <w:rPr>
          <w:rFonts w:ascii="Arial" w:hAnsi="Arial" w:cs="Arial"/>
          <w:b/>
          <w:sz w:val="16"/>
          <w:szCs w:val="16"/>
        </w:rPr>
      </w:pPr>
      <w:r>
        <w:rPr>
          <w:rFonts w:ascii="Arial" w:hAnsi="Arial" w:cs="Arial"/>
          <w:b/>
          <w:sz w:val="16"/>
          <w:szCs w:val="16"/>
        </w:rPr>
        <w:t>Source</w:t>
      </w:r>
      <w:r w:rsidRPr="00470EC3">
        <w:rPr>
          <w:rFonts w:ascii="Arial" w:hAnsi="Arial" w:cs="Arial"/>
          <w:sz w:val="16"/>
          <w:szCs w:val="16"/>
        </w:rPr>
        <w:t xml:space="preserve">: Estimations based on Analysis of Demand for Credit for Investments in Renewable </w:t>
      </w:r>
      <w:r>
        <w:rPr>
          <w:rFonts w:ascii="Arial" w:hAnsi="Arial" w:cs="Arial"/>
          <w:sz w:val="16"/>
          <w:szCs w:val="16"/>
        </w:rPr>
        <w:t xml:space="preserve">   </w:t>
      </w:r>
      <w:r w:rsidRPr="00470EC3">
        <w:rPr>
          <w:rFonts w:ascii="Arial" w:hAnsi="Arial" w:cs="Arial"/>
          <w:sz w:val="16"/>
          <w:szCs w:val="16"/>
        </w:rPr>
        <w:t>Energy in ZNI</w:t>
      </w:r>
      <w:r>
        <w:rPr>
          <w:rFonts w:ascii="Arial" w:hAnsi="Arial" w:cs="Arial"/>
          <w:b/>
          <w:sz w:val="16"/>
          <w:szCs w:val="16"/>
        </w:rPr>
        <w:tab/>
      </w:r>
    </w:p>
    <w:p w14:paraId="50A73A9E" w14:textId="77777777" w:rsidR="00492FA2" w:rsidRPr="00492FA2" w:rsidRDefault="00492FA2" w:rsidP="00EE5C4D">
      <w:pPr>
        <w:pStyle w:val="ListParagraph"/>
        <w:numPr>
          <w:ilvl w:val="1"/>
          <w:numId w:val="5"/>
        </w:numPr>
        <w:spacing w:before="360" w:after="120"/>
        <w:contextualSpacing w:val="0"/>
        <w:jc w:val="both"/>
        <w:rPr>
          <w:rFonts w:ascii="Arial" w:hAnsi="Arial" w:cs="Arial"/>
          <w:b/>
        </w:rPr>
      </w:pPr>
      <w:r>
        <w:rPr>
          <w:rFonts w:ascii="Arial" w:hAnsi="Arial" w:cs="Arial"/>
        </w:rPr>
        <w:lastRenderedPageBreak/>
        <w:t xml:space="preserve">Following this, and the costs </w:t>
      </w:r>
      <w:r w:rsidR="00491E01">
        <w:rPr>
          <w:rFonts w:ascii="Arial" w:hAnsi="Arial" w:cs="Arial"/>
        </w:rPr>
        <w:t>assumptions</w:t>
      </w:r>
      <w:r>
        <w:rPr>
          <w:rFonts w:ascii="Arial" w:hAnsi="Arial" w:cs="Arial"/>
        </w:rPr>
        <w:t xml:space="preserve"> in Table 2.2 the distribution of the investment</w:t>
      </w:r>
      <w:r w:rsidR="00491E01">
        <w:rPr>
          <w:rFonts w:ascii="Arial" w:hAnsi="Arial" w:cs="Arial"/>
        </w:rPr>
        <w:t>s</w:t>
      </w:r>
      <w:r>
        <w:rPr>
          <w:rFonts w:ascii="Arial" w:hAnsi="Arial" w:cs="Arial"/>
        </w:rPr>
        <w:t xml:space="preserve"> by number of projects</w:t>
      </w:r>
      <w:r w:rsidR="00491E01">
        <w:rPr>
          <w:rFonts w:ascii="Arial" w:hAnsi="Arial" w:cs="Arial"/>
        </w:rPr>
        <w:t>,</w:t>
      </w:r>
      <w:r>
        <w:rPr>
          <w:rFonts w:ascii="Arial" w:hAnsi="Arial" w:cs="Arial"/>
        </w:rPr>
        <w:t xml:space="preserve"> RE technology</w:t>
      </w:r>
      <w:r w:rsidR="00491E01">
        <w:rPr>
          <w:rFonts w:ascii="Arial" w:hAnsi="Arial" w:cs="Arial"/>
        </w:rPr>
        <w:t xml:space="preserve"> and installed capacity</w:t>
      </w:r>
      <w:r>
        <w:rPr>
          <w:rFonts w:ascii="Arial" w:hAnsi="Arial" w:cs="Arial"/>
        </w:rPr>
        <w:t xml:space="preserve"> is as follows:</w:t>
      </w:r>
    </w:p>
    <w:p w14:paraId="3A808E4C" w14:textId="5AAB5ED9" w:rsidR="00492FA2" w:rsidRPr="00491E01" w:rsidRDefault="00491E01" w:rsidP="00491E01">
      <w:pPr>
        <w:pStyle w:val="ListParagraph"/>
        <w:spacing w:before="360" w:after="120"/>
        <w:contextualSpacing w:val="0"/>
        <w:jc w:val="center"/>
        <w:rPr>
          <w:rFonts w:ascii="Arial" w:hAnsi="Arial" w:cs="Arial"/>
          <w:b/>
        </w:rPr>
      </w:pPr>
      <w:r w:rsidRPr="00491E01">
        <w:rPr>
          <w:rFonts w:ascii="Arial" w:hAnsi="Arial" w:cs="Arial"/>
          <w:b/>
        </w:rPr>
        <w:t xml:space="preserve">Table </w:t>
      </w:r>
      <w:r>
        <w:rPr>
          <w:rFonts w:ascii="Arial" w:hAnsi="Arial" w:cs="Arial"/>
          <w:b/>
        </w:rPr>
        <w:t>3.</w:t>
      </w:r>
      <w:r w:rsidR="0043579B">
        <w:rPr>
          <w:rFonts w:ascii="Arial" w:hAnsi="Arial" w:cs="Arial"/>
          <w:b/>
        </w:rPr>
        <w:t>3</w:t>
      </w:r>
      <w:r w:rsidRPr="00491E01">
        <w:rPr>
          <w:rFonts w:ascii="Arial" w:hAnsi="Arial" w:cs="Arial"/>
          <w:b/>
        </w:rPr>
        <w:t xml:space="preserve"> </w:t>
      </w:r>
      <w:proofErr w:type="gramStart"/>
      <w:r w:rsidRPr="00491E01">
        <w:rPr>
          <w:rFonts w:ascii="Arial" w:hAnsi="Arial" w:cs="Arial"/>
          <w:b/>
        </w:rPr>
        <w:t>Distribution</w:t>
      </w:r>
      <w:proofErr w:type="gramEnd"/>
      <w:r w:rsidRPr="00491E01">
        <w:rPr>
          <w:rFonts w:ascii="Arial" w:hAnsi="Arial" w:cs="Arial"/>
          <w:b/>
        </w:rPr>
        <w:t xml:space="preserve"> of Investments by Project and Installed Capacity</w:t>
      </w:r>
    </w:p>
    <w:tbl>
      <w:tblPr>
        <w:tblStyle w:val="TableGrid"/>
        <w:tblW w:w="0" w:type="auto"/>
        <w:jc w:val="center"/>
        <w:tblLook w:val="04A0" w:firstRow="1" w:lastRow="0" w:firstColumn="1" w:lastColumn="0" w:noHBand="0" w:noVBand="1"/>
      </w:tblPr>
      <w:tblGrid>
        <w:gridCol w:w="1584"/>
        <w:gridCol w:w="1584"/>
        <w:gridCol w:w="1584"/>
        <w:gridCol w:w="1584"/>
      </w:tblGrid>
      <w:tr w:rsidR="00C81DAD" w:rsidRPr="00C81DAD" w14:paraId="3F5CE007" w14:textId="77777777" w:rsidTr="00C81DAD">
        <w:trPr>
          <w:trHeight w:val="20"/>
          <w:jc w:val="center"/>
        </w:trPr>
        <w:tc>
          <w:tcPr>
            <w:tcW w:w="1584" w:type="dxa"/>
            <w:shd w:val="clear" w:color="auto" w:fill="17365D" w:themeFill="text2" w:themeFillShade="BF"/>
            <w:vAlign w:val="center"/>
          </w:tcPr>
          <w:p w14:paraId="70DFDDB6" w14:textId="77777777" w:rsidR="00491E01" w:rsidRPr="00C81DAD" w:rsidRDefault="00491E01" w:rsidP="00C81DAD">
            <w:pPr>
              <w:pStyle w:val="ListParagraph"/>
              <w:spacing w:before="360" w:after="120"/>
              <w:ind w:left="0"/>
              <w:contextualSpacing w:val="0"/>
              <w:jc w:val="center"/>
              <w:rPr>
                <w:rFonts w:ascii="Arial" w:hAnsi="Arial" w:cs="Arial"/>
                <w:b/>
                <w:color w:val="FFFFFF" w:themeColor="background1"/>
                <w:sz w:val="20"/>
                <w:szCs w:val="20"/>
              </w:rPr>
            </w:pPr>
            <w:r w:rsidRPr="00C81DAD">
              <w:rPr>
                <w:rFonts w:ascii="Arial" w:hAnsi="Arial" w:cs="Arial"/>
                <w:b/>
                <w:color w:val="FFFFFF" w:themeColor="background1"/>
                <w:sz w:val="20"/>
                <w:szCs w:val="20"/>
              </w:rPr>
              <w:t>Type of Plant</w:t>
            </w:r>
          </w:p>
        </w:tc>
        <w:tc>
          <w:tcPr>
            <w:tcW w:w="1584" w:type="dxa"/>
            <w:shd w:val="clear" w:color="auto" w:fill="17365D" w:themeFill="text2" w:themeFillShade="BF"/>
            <w:vAlign w:val="center"/>
          </w:tcPr>
          <w:p w14:paraId="574982BB" w14:textId="77777777" w:rsidR="00491E01" w:rsidRPr="00C81DAD" w:rsidRDefault="00491E01" w:rsidP="00491E01">
            <w:pPr>
              <w:pStyle w:val="ListParagraph"/>
              <w:spacing w:before="360" w:after="120"/>
              <w:ind w:left="0"/>
              <w:contextualSpacing w:val="0"/>
              <w:jc w:val="center"/>
              <w:rPr>
                <w:rFonts w:ascii="Arial" w:hAnsi="Arial" w:cs="Arial"/>
                <w:b/>
                <w:color w:val="FFFFFF" w:themeColor="background1"/>
                <w:sz w:val="20"/>
                <w:szCs w:val="20"/>
              </w:rPr>
            </w:pPr>
            <w:r w:rsidRPr="00C81DAD">
              <w:rPr>
                <w:rFonts w:ascii="Arial" w:hAnsi="Arial" w:cs="Arial"/>
                <w:b/>
                <w:color w:val="FFFFFF" w:themeColor="background1"/>
                <w:sz w:val="20"/>
                <w:szCs w:val="20"/>
              </w:rPr>
              <w:t>Number of Projects</w:t>
            </w:r>
          </w:p>
        </w:tc>
        <w:tc>
          <w:tcPr>
            <w:tcW w:w="1584" w:type="dxa"/>
            <w:shd w:val="clear" w:color="auto" w:fill="17365D" w:themeFill="text2" w:themeFillShade="BF"/>
            <w:vAlign w:val="center"/>
          </w:tcPr>
          <w:p w14:paraId="3A292443" w14:textId="77777777" w:rsidR="00491E01" w:rsidRPr="00C81DAD" w:rsidRDefault="00491E01" w:rsidP="00491E01">
            <w:pPr>
              <w:pStyle w:val="ListParagraph"/>
              <w:spacing w:before="360" w:after="120"/>
              <w:ind w:left="0"/>
              <w:contextualSpacing w:val="0"/>
              <w:jc w:val="center"/>
              <w:rPr>
                <w:rFonts w:ascii="Arial" w:hAnsi="Arial" w:cs="Arial"/>
                <w:b/>
                <w:color w:val="FFFFFF" w:themeColor="background1"/>
                <w:sz w:val="20"/>
                <w:szCs w:val="20"/>
              </w:rPr>
            </w:pPr>
            <w:r w:rsidRPr="00C81DAD">
              <w:rPr>
                <w:rFonts w:ascii="Arial" w:hAnsi="Arial" w:cs="Arial"/>
                <w:b/>
                <w:color w:val="FFFFFF" w:themeColor="background1"/>
                <w:sz w:val="20"/>
                <w:szCs w:val="20"/>
              </w:rPr>
              <w:t>Installed Capacity (MW)</w:t>
            </w:r>
          </w:p>
        </w:tc>
        <w:tc>
          <w:tcPr>
            <w:tcW w:w="1584" w:type="dxa"/>
            <w:shd w:val="clear" w:color="auto" w:fill="17365D" w:themeFill="text2" w:themeFillShade="BF"/>
            <w:vAlign w:val="center"/>
          </w:tcPr>
          <w:p w14:paraId="5761007F" w14:textId="77777777" w:rsidR="00491E01" w:rsidRPr="00C81DAD" w:rsidRDefault="00491E01" w:rsidP="00491E01">
            <w:pPr>
              <w:pStyle w:val="ListParagraph"/>
              <w:spacing w:before="360" w:after="120"/>
              <w:ind w:left="0"/>
              <w:contextualSpacing w:val="0"/>
              <w:jc w:val="center"/>
              <w:rPr>
                <w:rFonts w:ascii="Arial" w:hAnsi="Arial" w:cs="Arial"/>
                <w:b/>
                <w:color w:val="FFFFFF" w:themeColor="background1"/>
                <w:sz w:val="20"/>
                <w:szCs w:val="20"/>
              </w:rPr>
            </w:pPr>
            <w:r w:rsidRPr="00C81DAD">
              <w:rPr>
                <w:rFonts w:ascii="Arial" w:hAnsi="Arial" w:cs="Arial"/>
                <w:b/>
                <w:color w:val="FFFFFF" w:themeColor="background1"/>
                <w:sz w:val="20"/>
                <w:szCs w:val="20"/>
              </w:rPr>
              <w:t>Investment (USD million)</w:t>
            </w:r>
          </w:p>
        </w:tc>
      </w:tr>
      <w:tr w:rsidR="00C81DAD" w:rsidRPr="00C81DAD" w14:paraId="73DBB59F" w14:textId="77777777" w:rsidTr="00C81DAD">
        <w:trPr>
          <w:trHeight w:val="20"/>
          <w:jc w:val="center"/>
        </w:trPr>
        <w:tc>
          <w:tcPr>
            <w:tcW w:w="1584" w:type="dxa"/>
            <w:vAlign w:val="center"/>
          </w:tcPr>
          <w:p w14:paraId="690B48DA"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Hybrid</w:t>
            </w:r>
          </w:p>
        </w:tc>
        <w:tc>
          <w:tcPr>
            <w:tcW w:w="1584" w:type="dxa"/>
            <w:vAlign w:val="center"/>
          </w:tcPr>
          <w:p w14:paraId="70F6CB01"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4</w:t>
            </w:r>
          </w:p>
        </w:tc>
        <w:tc>
          <w:tcPr>
            <w:tcW w:w="1584" w:type="dxa"/>
            <w:vAlign w:val="center"/>
          </w:tcPr>
          <w:p w14:paraId="46D6D036"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2.64</w:t>
            </w:r>
          </w:p>
        </w:tc>
        <w:tc>
          <w:tcPr>
            <w:tcW w:w="1584" w:type="dxa"/>
            <w:vAlign w:val="center"/>
          </w:tcPr>
          <w:p w14:paraId="39FE825B"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8.7</w:t>
            </w:r>
          </w:p>
        </w:tc>
      </w:tr>
      <w:tr w:rsidR="00C81DAD" w:rsidRPr="00C81DAD" w14:paraId="64EB0EBA" w14:textId="77777777" w:rsidTr="00C81DAD">
        <w:trPr>
          <w:trHeight w:val="20"/>
          <w:jc w:val="center"/>
        </w:trPr>
        <w:tc>
          <w:tcPr>
            <w:tcW w:w="1584" w:type="dxa"/>
            <w:vAlign w:val="center"/>
          </w:tcPr>
          <w:p w14:paraId="4ED3896D"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Solar</w:t>
            </w:r>
          </w:p>
        </w:tc>
        <w:tc>
          <w:tcPr>
            <w:tcW w:w="1584" w:type="dxa"/>
            <w:vAlign w:val="center"/>
          </w:tcPr>
          <w:p w14:paraId="244BED65"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4</w:t>
            </w:r>
          </w:p>
        </w:tc>
        <w:tc>
          <w:tcPr>
            <w:tcW w:w="1584" w:type="dxa"/>
            <w:vAlign w:val="center"/>
          </w:tcPr>
          <w:p w14:paraId="0FDF0A85"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2.64</w:t>
            </w:r>
          </w:p>
        </w:tc>
        <w:tc>
          <w:tcPr>
            <w:tcW w:w="1584" w:type="dxa"/>
            <w:vAlign w:val="center"/>
          </w:tcPr>
          <w:p w14:paraId="7AA34716"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8.4</w:t>
            </w:r>
          </w:p>
        </w:tc>
      </w:tr>
      <w:tr w:rsidR="00C81DAD" w:rsidRPr="00C81DAD" w14:paraId="7E234C9A" w14:textId="77777777" w:rsidTr="00C81DAD">
        <w:trPr>
          <w:trHeight w:val="20"/>
          <w:jc w:val="center"/>
        </w:trPr>
        <w:tc>
          <w:tcPr>
            <w:tcW w:w="1584" w:type="dxa"/>
            <w:vAlign w:val="center"/>
          </w:tcPr>
          <w:p w14:paraId="28A0D99A"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SHP</w:t>
            </w:r>
          </w:p>
        </w:tc>
        <w:tc>
          <w:tcPr>
            <w:tcW w:w="1584" w:type="dxa"/>
            <w:vAlign w:val="center"/>
          </w:tcPr>
          <w:p w14:paraId="3DC8AF3A"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2</w:t>
            </w:r>
          </w:p>
        </w:tc>
        <w:tc>
          <w:tcPr>
            <w:tcW w:w="1584" w:type="dxa"/>
            <w:vAlign w:val="center"/>
          </w:tcPr>
          <w:p w14:paraId="56F72C72"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1.76</w:t>
            </w:r>
          </w:p>
        </w:tc>
        <w:tc>
          <w:tcPr>
            <w:tcW w:w="1584" w:type="dxa"/>
            <w:vAlign w:val="center"/>
          </w:tcPr>
          <w:p w14:paraId="6370EC3A"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5.8</w:t>
            </w:r>
          </w:p>
        </w:tc>
      </w:tr>
      <w:tr w:rsidR="00C81DAD" w:rsidRPr="00C81DAD" w14:paraId="6C6A3401" w14:textId="77777777" w:rsidTr="00C81DAD">
        <w:trPr>
          <w:trHeight w:val="20"/>
          <w:jc w:val="center"/>
        </w:trPr>
        <w:tc>
          <w:tcPr>
            <w:tcW w:w="1584" w:type="dxa"/>
            <w:vAlign w:val="center"/>
          </w:tcPr>
          <w:p w14:paraId="2B3EA07D"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Biomass</w:t>
            </w:r>
          </w:p>
        </w:tc>
        <w:tc>
          <w:tcPr>
            <w:tcW w:w="1584" w:type="dxa"/>
            <w:vAlign w:val="center"/>
          </w:tcPr>
          <w:p w14:paraId="1C9FAEA8"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2</w:t>
            </w:r>
          </w:p>
        </w:tc>
        <w:tc>
          <w:tcPr>
            <w:tcW w:w="1584" w:type="dxa"/>
            <w:vAlign w:val="center"/>
          </w:tcPr>
          <w:p w14:paraId="34FC354E"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1.76</w:t>
            </w:r>
          </w:p>
        </w:tc>
        <w:tc>
          <w:tcPr>
            <w:tcW w:w="1584" w:type="dxa"/>
            <w:vAlign w:val="center"/>
          </w:tcPr>
          <w:p w14:paraId="4A95B5BF" w14:textId="77777777" w:rsidR="00491E01" w:rsidRPr="00C81DAD" w:rsidRDefault="00491E01" w:rsidP="00491E01">
            <w:pPr>
              <w:pStyle w:val="ListParagraph"/>
              <w:spacing w:before="360" w:after="120"/>
              <w:ind w:left="0"/>
              <w:contextualSpacing w:val="0"/>
              <w:jc w:val="center"/>
              <w:rPr>
                <w:rFonts w:ascii="Arial" w:hAnsi="Arial" w:cs="Arial"/>
                <w:sz w:val="20"/>
                <w:szCs w:val="20"/>
              </w:rPr>
            </w:pPr>
            <w:r w:rsidRPr="00C81DAD">
              <w:rPr>
                <w:rFonts w:ascii="Arial" w:hAnsi="Arial" w:cs="Arial"/>
                <w:sz w:val="20"/>
                <w:szCs w:val="20"/>
              </w:rPr>
              <w:t>5.1</w:t>
            </w:r>
          </w:p>
        </w:tc>
      </w:tr>
      <w:tr w:rsidR="00C81DAD" w:rsidRPr="00C81DAD" w14:paraId="160713AC" w14:textId="77777777" w:rsidTr="00C81DAD">
        <w:trPr>
          <w:trHeight w:val="20"/>
          <w:jc w:val="center"/>
        </w:trPr>
        <w:tc>
          <w:tcPr>
            <w:tcW w:w="1584" w:type="dxa"/>
            <w:vAlign w:val="center"/>
          </w:tcPr>
          <w:p w14:paraId="4159FF7A" w14:textId="77777777" w:rsidR="00491E01" w:rsidRPr="00C81DAD" w:rsidRDefault="00491E01" w:rsidP="00491E01">
            <w:pPr>
              <w:pStyle w:val="ListParagraph"/>
              <w:spacing w:before="360" w:after="120"/>
              <w:ind w:left="0"/>
              <w:contextualSpacing w:val="0"/>
              <w:rPr>
                <w:rFonts w:ascii="Arial" w:hAnsi="Arial" w:cs="Arial"/>
                <w:b/>
                <w:sz w:val="20"/>
                <w:szCs w:val="20"/>
              </w:rPr>
            </w:pPr>
            <w:r w:rsidRPr="00C81DAD">
              <w:rPr>
                <w:rFonts w:ascii="Arial" w:hAnsi="Arial" w:cs="Arial"/>
                <w:b/>
                <w:sz w:val="20"/>
                <w:szCs w:val="20"/>
              </w:rPr>
              <w:t>Total</w:t>
            </w:r>
          </w:p>
        </w:tc>
        <w:tc>
          <w:tcPr>
            <w:tcW w:w="1584" w:type="dxa"/>
            <w:vAlign w:val="center"/>
          </w:tcPr>
          <w:p w14:paraId="34AAC190" w14:textId="77777777" w:rsidR="00491E01" w:rsidRPr="00C81DAD" w:rsidRDefault="00491E01" w:rsidP="00491E01">
            <w:pPr>
              <w:pStyle w:val="ListParagraph"/>
              <w:spacing w:before="360" w:after="120"/>
              <w:ind w:left="0"/>
              <w:contextualSpacing w:val="0"/>
              <w:jc w:val="center"/>
              <w:rPr>
                <w:rFonts w:ascii="Arial" w:hAnsi="Arial" w:cs="Arial"/>
                <w:b/>
                <w:sz w:val="20"/>
                <w:szCs w:val="20"/>
              </w:rPr>
            </w:pPr>
            <w:r w:rsidRPr="00C81DAD">
              <w:rPr>
                <w:rFonts w:ascii="Arial" w:hAnsi="Arial" w:cs="Arial"/>
                <w:b/>
                <w:sz w:val="20"/>
                <w:szCs w:val="20"/>
              </w:rPr>
              <w:t>12</w:t>
            </w:r>
          </w:p>
        </w:tc>
        <w:tc>
          <w:tcPr>
            <w:tcW w:w="1584" w:type="dxa"/>
            <w:vAlign w:val="center"/>
          </w:tcPr>
          <w:p w14:paraId="15D08DC7" w14:textId="77777777" w:rsidR="00491E01" w:rsidRPr="00C81DAD" w:rsidRDefault="00491E01" w:rsidP="00491E01">
            <w:pPr>
              <w:pStyle w:val="ListParagraph"/>
              <w:spacing w:before="360" w:after="120"/>
              <w:ind w:left="0"/>
              <w:contextualSpacing w:val="0"/>
              <w:jc w:val="center"/>
              <w:rPr>
                <w:rFonts w:ascii="Arial" w:hAnsi="Arial" w:cs="Arial"/>
                <w:b/>
                <w:sz w:val="20"/>
                <w:szCs w:val="20"/>
              </w:rPr>
            </w:pPr>
            <w:r w:rsidRPr="00C81DAD">
              <w:rPr>
                <w:rFonts w:ascii="Arial" w:hAnsi="Arial" w:cs="Arial"/>
                <w:b/>
                <w:sz w:val="20"/>
                <w:szCs w:val="20"/>
              </w:rPr>
              <w:t>8.8</w:t>
            </w:r>
          </w:p>
        </w:tc>
        <w:tc>
          <w:tcPr>
            <w:tcW w:w="1584" w:type="dxa"/>
            <w:vAlign w:val="center"/>
          </w:tcPr>
          <w:p w14:paraId="7CDBC44F" w14:textId="77777777" w:rsidR="00491E01" w:rsidRPr="00C81DAD" w:rsidRDefault="00491E01" w:rsidP="00491E01">
            <w:pPr>
              <w:pStyle w:val="ListParagraph"/>
              <w:spacing w:before="360" w:after="120"/>
              <w:ind w:left="0"/>
              <w:contextualSpacing w:val="0"/>
              <w:jc w:val="center"/>
              <w:rPr>
                <w:rFonts w:ascii="Arial" w:hAnsi="Arial" w:cs="Arial"/>
                <w:b/>
                <w:sz w:val="20"/>
                <w:szCs w:val="20"/>
              </w:rPr>
            </w:pPr>
            <w:r w:rsidRPr="00C81DAD">
              <w:rPr>
                <w:rFonts w:ascii="Arial" w:hAnsi="Arial" w:cs="Arial"/>
                <w:b/>
                <w:sz w:val="20"/>
                <w:szCs w:val="20"/>
              </w:rPr>
              <w:t>28</w:t>
            </w:r>
          </w:p>
        </w:tc>
      </w:tr>
    </w:tbl>
    <w:p w14:paraId="288A6276" w14:textId="77777777" w:rsidR="00492FA2" w:rsidRDefault="00491E01" w:rsidP="00492FA2">
      <w:pPr>
        <w:pStyle w:val="ListParagraph"/>
        <w:spacing w:before="360" w:after="120"/>
        <w:contextualSpacing w:val="0"/>
        <w:jc w:val="both"/>
        <w:rPr>
          <w:rFonts w:ascii="Arial" w:hAnsi="Arial" w:cs="Arial"/>
          <w:b/>
        </w:rPr>
      </w:pPr>
      <w:r>
        <w:rPr>
          <w:rFonts w:ascii="Arial" w:hAnsi="Arial" w:cs="Arial"/>
          <w:sz w:val="18"/>
          <w:szCs w:val="18"/>
        </w:rPr>
        <w:t xml:space="preserve">Source: </w:t>
      </w:r>
      <w:r w:rsidRPr="0071340E">
        <w:rPr>
          <w:rFonts w:ascii="Arial" w:hAnsi="Arial" w:cs="Arial"/>
          <w:sz w:val="18"/>
          <w:szCs w:val="18"/>
        </w:rPr>
        <w:t>Analysis of Demand for Credit for Investments in Renewable Energy in ZNI</w:t>
      </w:r>
    </w:p>
    <w:p w14:paraId="5FF00C73" w14:textId="77777777" w:rsidR="00491E01" w:rsidRPr="00862361" w:rsidRDefault="00491E01" w:rsidP="00492FA2">
      <w:pPr>
        <w:pStyle w:val="ListParagraph"/>
        <w:spacing w:before="360" w:after="120"/>
        <w:contextualSpacing w:val="0"/>
        <w:jc w:val="both"/>
        <w:rPr>
          <w:rFonts w:ascii="Arial" w:hAnsi="Arial" w:cs="Arial"/>
          <w:b/>
        </w:rPr>
      </w:pPr>
    </w:p>
    <w:p w14:paraId="171A91D7" w14:textId="77777777" w:rsidR="003C77CC" w:rsidRDefault="003C77CC" w:rsidP="00221C7D">
      <w:pPr>
        <w:pStyle w:val="ListParagraph"/>
        <w:spacing w:before="360" w:after="120"/>
        <w:ind w:left="360"/>
        <w:jc w:val="both"/>
        <w:rPr>
          <w:rFonts w:ascii="Arial" w:hAnsi="Arial" w:cs="Arial"/>
          <w:b/>
          <w:u w:val="single"/>
        </w:rPr>
      </w:pPr>
    </w:p>
    <w:p w14:paraId="71599475" w14:textId="77777777" w:rsidR="00221C7D" w:rsidRPr="00221C7D" w:rsidRDefault="00221C7D" w:rsidP="00221C7D">
      <w:pPr>
        <w:pStyle w:val="ListParagraph"/>
        <w:spacing w:before="360" w:after="120"/>
        <w:ind w:left="360"/>
        <w:jc w:val="both"/>
        <w:rPr>
          <w:rFonts w:ascii="Arial" w:hAnsi="Arial" w:cs="Arial"/>
          <w:b/>
          <w:u w:val="single"/>
        </w:rPr>
      </w:pPr>
      <w:r>
        <w:rPr>
          <w:rFonts w:ascii="Arial" w:hAnsi="Arial" w:cs="Arial"/>
          <w:b/>
          <w:u w:val="single"/>
        </w:rPr>
        <w:t>Cost Savings</w:t>
      </w:r>
    </w:p>
    <w:p w14:paraId="14A144EB" w14:textId="77777777" w:rsidR="002E6AD2" w:rsidRPr="00F26752" w:rsidRDefault="00862361" w:rsidP="00EE5C4D">
      <w:pPr>
        <w:pStyle w:val="ListParagraph"/>
        <w:numPr>
          <w:ilvl w:val="1"/>
          <w:numId w:val="5"/>
        </w:numPr>
        <w:spacing w:before="360" w:after="120"/>
        <w:contextualSpacing w:val="0"/>
        <w:jc w:val="both"/>
        <w:rPr>
          <w:rFonts w:ascii="Arial" w:hAnsi="Arial" w:cs="Arial"/>
          <w:b/>
        </w:rPr>
      </w:pPr>
      <w:r>
        <w:rPr>
          <w:rFonts w:ascii="Arial" w:hAnsi="Arial" w:cs="Arial"/>
          <w:b/>
        </w:rPr>
        <w:t>Costs calculations</w:t>
      </w:r>
      <w:r w:rsidR="0045558B" w:rsidRPr="00F26752">
        <w:rPr>
          <w:rFonts w:ascii="Arial" w:hAnsi="Arial" w:cs="Arial"/>
          <w:b/>
        </w:rPr>
        <w:t xml:space="preserve">. </w:t>
      </w:r>
      <w:r>
        <w:rPr>
          <w:rFonts w:ascii="Arial" w:hAnsi="Arial" w:cs="Arial"/>
        </w:rPr>
        <w:t>For the project and counterfactual scenario we calculate costs as follows</w:t>
      </w:r>
      <w:r w:rsidR="001771CD" w:rsidRPr="00F26752">
        <w:rPr>
          <w:rFonts w:ascii="Arial" w:hAnsi="Arial" w:cs="Arial"/>
        </w:rPr>
        <w:t>:</w:t>
      </w:r>
    </w:p>
    <w:p w14:paraId="09DD9AF4" w14:textId="77777777" w:rsidR="00B65365" w:rsidRPr="007039E3" w:rsidRDefault="00862361" w:rsidP="00B65365">
      <w:pPr>
        <w:pStyle w:val="ListParagraph"/>
        <w:numPr>
          <w:ilvl w:val="2"/>
          <w:numId w:val="5"/>
        </w:numPr>
        <w:spacing w:before="120" w:after="0"/>
        <w:contextualSpacing w:val="0"/>
        <w:jc w:val="both"/>
        <w:rPr>
          <w:rFonts w:ascii="Arial" w:hAnsi="Arial" w:cs="Arial"/>
          <w:b/>
        </w:rPr>
      </w:pPr>
      <w:r>
        <w:rPr>
          <w:rFonts w:ascii="Arial" w:hAnsi="Arial" w:cs="Arial"/>
          <w:i/>
        </w:rPr>
        <w:t>Scenario With project</w:t>
      </w:r>
      <w:r w:rsidR="001771CD" w:rsidRPr="00F26752">
        <w:rPr>
          <w:rFonts w:ascii="Arial" w:hAnsi="Arial" w:cs="Arial"/>
        </w:rPr>
        <w:t>.</w:t>
      </w:r>
      <w:r w:rsidR="007E703C" w:rsidRPr="00F26752">
        <w:rPr>
          <w:rFonts w:ascii="Arial" w:hAnsi="Arial" w:cs="Arial"/>
        </w:rPr>
        <w:t xml:space="preserve"> </w:t>
      </w:r>
      <w:r w:rsidR="007039E3">
        <w:rPr>
          <w:rFonts w:ascii="Arial" w:hAnsi="Arial" w:cs="Arial"/>
        </w:rPr>
        <w:t xml:space="preserve">For each of the four years of the program, following the energy demand growth, we have the installed capacity in kW that is going to be installed in diesel and RE plants. For the RE fraction of production (70%). The investment costs are calculated by dividing the required capacity for each year by the weighted investment cost reported in Table 2.2. </w:t>
      </w:r>
      <w:r>
        <w:rPr>
          <w:rFonts w:ascii="Arial" w:hAnsi="Arial" w:cs="Arial"/>
        </w:rPr>
        <w:t xml:space="preserve">We then calculate the generation for these plants by multiplying the average expected number of hours of use per day by 365 days. Finally we multiply the annual generation by the </w:t>
      </w:r>
      <w:r w:rsidR="007039E3">
        <w:rPr>
          <w:rFonts w:ascii="Arial" w:hAnsi="Arial" w:cs="Arial"/>
        </w:rPr>
        <w:t xml:space="preserve">weighted average </w:t>
      </w:r>
      <w:r>
        <w:rPr>
          <w:rFonts w:ascii="Arial" w:hAnsi="Arial" w:cs="Arial"/>
        </w:rPr>
        <w:t>O&amp;M costs reported on Table</w:t>
      </w:r>
      <w:r w:rsidR="007039E3">
        <w:rPr>
          <w:rFonts w:ascii="Arial" w:hAnsi="Arial" w:cs="Arial"/>
        </w:rPr>
        <w:t xml:space="preserve"> 2.2</w:t>
      </w:r>
      <w:r>
        <w:rPr>
          <w:rFonts w:ascii="Arial" w:hAnsi="Arial" w:cs="Arial"/>
        </w:rPr>
        <w:t>.</w:t>
      </w:r>
      <w:r w:rsidR="007039E3">
        <w:rPr>
          <w:rFonts w:ascii="Arial" w:hAnsi="Arial" w:cs="Arial"/>
        </w:rPr>
        <w:t xml:space="preserve"> The weights used for </w:t>
      </w:r>
      <w:r w:rsidR="00B65365">
        <w:rPr>
          <w:rFonts w:ascii="Arial" w:hAnsi="Arial" w:cs="Arial"/>
        </w:rPr>
        <w:t>these calculations</w:t>
      </w:r>
      <w:r w:rsidR="007039E3">
        <w:rPr>
          <w:rFonts w:ascii="Arial" w:hAnsi="Arial" w:cs="Arial"/>
        </w:rPr>
        <w:t xml:space="preserve"> correspond to the assumed participation of RE technologies (Table 2.1)</w:t>
      </w:r>
      <w:r w:rsidR="00B65365">
        <w:rPr>
          <w:rFonts w:ascii="Arial" w:hAnsi="Arial" w:cs="Arial"/>
        </w:rPr>
        <w:t xml:space="preserve">. For the diesel fraction of production (30%) the investment costs are calculated by dividing the required diesel capacity for each year by the investment costs reported in Table 2.2. We then calculate </w:t>
      </w:r>
      <w:r w:rsidR="00B65365">
        <w:rPr>
          <w:rFonts w:ascii="Arial" w:hAnsi="Arial" w:cs="Arial"/>
        </w:rPr>
        <w:lastRenderedPageBreak/>
        <w:t>the generation for these plants by multiplying the average expected number of hours of use per day by 365 days. Finally we multiply the annual generation by the diesel O&amp;M costs reported on Table 2.2.</w:t>
      </w:r>
    </w:p>
    <w:p w14:paraId="158E433B" w14:textId="77777777" w:rsidR="007E703C" w:rsidRPr="007039E3" w:rsidRDefault="00B65365" w:rsidP="00EE5C4D">
      <w:pPr>
        <w:pStyle w:val="ListParagraph"/>
        <w:numPr>
          <w:ilvl w:val="2"/>
          <w:numId w:val="5"/>
        </w:numPr>
        <w:spacing w:before="120" w:after="0"/>
        <w:contextualSpacing w:val="0"/>
        <w:jc w:val="both"/>
        <w:rPr>
          <w:rFonts w:ascii="Arial" w:hAnsi="Arial" w:cs="Arial"/>
          <w:b/>
        </w:rPr>
      </w:pPr>
      <w:r>
        <w:rPr>
          <w:rFonts w:ascii="Arial" w:hAnsi="Arial" w:cs="Arial"/>
          <w:i/>
        </w:rPr>
        <w:t>Scenario without project</w:t>
      </w:r>
      <w:r w:rsidR="007E703C" w:rsidRPr="007039E3">
        <w:rPr>
          <w:rFonts w:ascii="Arial" w:hAnsi="Arial" w:cs="Arial"/>
        </w:rPr>
        <w:t xml:space="preserve">. </w:t>
      </w:r>
      <w:r w:rsidR="007039E3">
        <w:rPr>
          <w:rFonts w:ascii="Arial" w:hAnsi="Arial" w:cs="Arial"/>
        </w:rPr>
        <w:t>The investment costs are calculated by dividing the required diesel capacity for each year by the investment costs reported in Table 2.2. We then calculate the generation for these plants by multiplying the average expected number of hours of use per day by 365 days. Finally we multiply the annual generation by the diesel O&amp;M costs reported on Table 2.2.</w:t>
      </w:r>
    </w:p>
    <w:p w14:paraId="0DB5F7F1" w14:textId="77777777" w:rsidR="00674358" w:rsidRPr="00F26752" w:rsidRDefault="00674358" w:rsidP="00EE5C4D">
      <w:pPr>
        <w:pStyle w:val="ListParagraph"/>
        <w:spacing w:before="360" w:after="120"/>
        <w:ind w:left="1080"/>
        <w:contextualSpacing w:val="0"/>
        <w:jc w:val="both"/>
        <w:rPr>
          <w:rFonts w:ascii="Arial" w:hAnsi="Arial" w:cs="Arial"/>
          <w:b/>
        </w:rPr>
      </w:pPr>
      <w:r w:rsidRPr="00F26752">
        <w:rPr>
          <w:rFonts w:ascii="Arial" w:hAnsi="Arial" w:cs="Arial"/>
        </w:rPr>
        <w:t xml:space="preserve">The </w:t>
      </w:r>
      <w:r w:rsidR="007039E3">
        <w:rPr>
          <w:rFonts w:ascii="Arial" w:hAnsi="Arial" w:cs="Arial"/>
        </w:rPr>
        <w:t xml:space="preserve">cost </w:t>
      </w:r>
      <w:r w:rsidR="007039E3" w:rsidRPr="00F26752">
        <w:rPr>
          <w:rFonts w:ascii="Arial" w:hAnsi="Arial" w:cs="Arial"/>
        </w:rPr>
        <w:t>savings</w:t>
      </w:r>
      <w:r w:rsidRPr="00F26752">
        <w:rPr>
          <w:rFonts w:ascii="Arial" w:hAnsi="Arial" w:cs="Arial"/>
        </w:rPr>
        <w:t xml:space="preserve"> will be the </w:t>
      </w:r>
      <w:r w:rsidR="007039E3">
        <w:rPr>
          <w:rFonts w:ascii="Arial" w:hAnsi="Arial" w:cs="Arial"/>
        </w:rPr>
        <w:t>difference between the total costs (investment plus O&amp;M) of these two scenarios</w:t>
      </w:r>
      <w:r w:rsidRPr="00F26752">
        <w:rPr>
          <w:rFonts w:ascii="Arial" w:hAnsi="Arial" w:cs="Arial"/>
        </w:rPr>
        <w:t>.</w:t>
      </w:r>
    </w:p>
    <w:p w14:paraId="18F5934C" w14:textId="77777777" w:rsidR="00674358" w:rsidRPr="00F26752" w:rsidRDefault="007039E3" w:rsidP="00EE5C4D">
      <w:pPr>
        <w:spacing w:before="360" w:after="120"/>
        <w:ind w:left="360"/>
        <w:jc w:val="both"/>
        <w:rPr>
          <w:rFonts w:ascii="Arial" w:hAnsi="Arial" w:cs="Arial"/>
          <w:b/>
          <w:u w:val="single"/>
        </w:rPr>
      </w:pPr>
      <w:r>
        <w:rPr>
          <w:rFonts w:ascii="Arial" w:hAnsi="Arial" w:cs="Arial"/>
          <w:b/>
          <w:u w:val="single"/>
        </w:rPr>
        <w:t>Emissions Reductions</w:t>
      </w:r>
    </w:p>
    <w:p w14:paraId="20208DAC" w14:textId="77777777" w:rsidR="00674358" w:rsidRPr="00F26752" w:rsidRDefault="00B65365" w:rsidP="00EE5C4D">
      <w:pPr>
        <w:pStyle w:val="ListParagraph"/>
        <w:numPr>
          <w:ilvl w:val="1"/>
          <w:numId w:val="5"/>
        </w:numPr>
        <w:spacing w:before="360" w:after="120"/>
        <w:contextualSpacing w:val="0"/>
        <w:jc w:val="both"/>
        <w:rPr>
          <w:rFonts w:ascii="Arial" w:hAnsi="Arial" w:cs="Arial"/>
          <w:b/>
        </w:rPr>
      </w:pPr>
      <w:r>
        <w:rPr>
          <w:rFonts w:ascii="Arial" w:hAnsi="Arial" w:cs="Arial"/>
        </w:rPr>
        <w:t>First, we calculate the emissions level that each scenario produces.</w:t>
      </w:r>
    </w:p>
    <w:p w14:paraId="1BE7C8C4" w14:textId="77777777" w:rsidR="003665DE" w:rsidRPr="00F26752" w:rsidRDefault="00B65365" w:rsidP="00EE5C4D">
      <w:pPr>
        <w:pStyle w:val="ListParagraph"/>
        <w:numPr>
          <w:ilvl w:val="2"/>
          <w:numId w:val="5"/>
        </w:numPr>
        <w:spacing w:before="360" w:after="120"/>
        <w:contextualSpacing w:val="0"/>
        <w:jc w:val="both"/>
        <w:rPr>
          <w:rFonts w:ascii="Arial" w:hAnsi="Arial" w:cs="Arial"/>
          <w:i/>
        </w:rPr>
      </w:pPr>
      <w:r>
        <w:rPr>
          <w:rFonts w:ascii="Arial" w:hAnsi="Arial" w:cs="Arial"/>
          <w:i/>
        </w:rPr>
        <w:t>Scenario with project</w:t>
      </w:r>
      <w:r w:rsidR="003665DE" w:rsidRPr="00F26752">
        <w:rPr>
          <w:rFonts w:ascii="Arial" w:hAnsi="Arial" w:cs="Arial"/>
          <w:i/>
        </w:rPr>
        <w:t>.</w:t>
      </w:r>
      <w:r w:rsidR="003665DE" w:rsidRPr="00F26752">
        <w:rPr>
          <w:rFonts w:ascii="Arial" w:hAnsi="Arial" w:cs="Arial"/>
          <w:b/>
          <w:i/>
        </w:rPr>
        <w:t xml:space="preserve"> </w:t>
      </w:r>
      <w:r>
        <w:rPr>
          <w:rFonts w:ascii="Arial" w:hAnsi="Arial" w:cs="Arial"/>
        </w:rPr>
        <w:t>We multiply the generation of the diesel share of production (30%) by the emissions factor as</w:t>
      </w:r>
      <w:r w:rsidR="00720BE2">
        <w:rPr>
          <w:rFonts w:ascii="Arial" w:hAnsi="Arial" w:cs="Arial"/>
        </w:rPr>
        <w:t>sumed for diesel (assumption xiii</w:t>
      </w:r>
      <w:r>
        <w:rPr>
          <w:rFonts w:ascii="Arial" w:hAnsi="Arial" w:cs="Arial"/>
        </w:rPr>
        <w:t>).</w:t>
      </w:r>
    </w:p>
    <w:p w14:paraId="260DD368" w14:textId="77777777" w:rsidR="00B65365" w:rsidRPr="00B65365" w:rsidRDefault="00B65365" w:rsidP="00EE5C4D">
      <w:pPr>
        <w:pStyle w:val="ListParagraph"/>
        <w:numPr>
          <w:ilvl w:val="2"/>
          <w:numId w:val="5"/>
        </w:numPr>
        <w:spacing w:before="360" w:after="120"/>
        <w:contextualSpacing w:val="0"/>
        <w:jc w:val="both"/>
        <w:rPr>
          <w:rFonts w:ascii="Arial" w:hAnsi="Arial" w:cs="Arial"/>
          <w:i/>
        </w:rPr>
      </w:pPr>
      <w:r>
        <w:rPr>
          <w:rFonts w:ascii="Arial" w:hAnsi="Arial" w:cs="Arial"/>
          <w:i/>
        </w:rPr>
        <w:t>Scenario without project</w:t>
      </w:r>
      <w:r w:rsidR="003665DE" w:rsidRPr="00F26752">
        <w:rPr>
          <w:rFonts w:ascii="Arial" w:hAnsi="Arial" w:cs="Arial"/>
          <w:i/>
        </w:rPr>
        <w:t xml:space="preserve">. </w:t>
      </w:r>
      <w:r>
        <w:rPr>
          <w:rFonts w:ascii="Arial" w:hAnsi="Arial" w:cs="Arial"/>
        </w:rPr>
        <w:t>We multiply the total generation by the emissions factor assumed for diesel.</w:t>
      </w:r>
    </w:p>
    <w:p w14:paraId="7B740C34" w14:textId="77777777" w:rsidR="00B65365" w:rsidRDefault="00B65365" w:rsidP="00B65365">
      <w:pPr>
        <w:pStyle w:val="ListParagraph"/>
        <w:numPr>
          <w:ilvl w:val="1"/>
          <w:numId w:val="5"/>
        </w:numPr>
        <w:spacing w:before="360" w:after="120"/>
        <w:jc w:val="both"/>
        <w:rPr>
          <w:rFonts w:ascii="Arial" w:hAnsi="Arial" w:cs="Arial"/>
        </w:rPr>
      </w:pPr>
      <w:r>
        <w:rPr>
          <w:rFonts w:ascii="Arial" w:hAnsi="Arial" w:cs="Arial"/>
        </w:rPr>
        <w:t>Then, the emissions reduced by the project are the difference between the emissions in the scenario without project and the emissions in the scenario with project</w:t>
      </w:r>
    </w:p>
    <w:p w14:paraId="2E051569" w14:textId="77777777" w:rsidR="003665DE" w:rsidRPr="00B65365" w:rsidRDefault="00B65365" w:rsidP="00886F04">
      <w:pPr>
        <w:pStyle w:val="ListParagraph"/>
        <w:numPr>
          <w:ilvl w:val="1"/>
          <w:numId w:val="5"/>
        </w:numPr>
        <w:spacing w:before="360" w:after="120"/>
        <w:ind w:hanging="450"/>
        <w:jc w:val="both"/>
        <w:rPr>
          <w:rFonts w:ascii="Arial" w:hAnsi="Arial" w:cs="Arial"/>
        </w:rPr>
      </w:pPr>
      <w:r w:rsidRPr="00B65365">
        <w:rPr>
          <w:rFonts w:ascii="Arial" w:hAnsi="Arial" w:cs="Arial"/>
        </w:rPr>
        <w:t>The economic value of the emissions reductions is calculated by multiplying the reduced emissions for each year of the life span of the plants by the carbon price assumed for that year (assumption x</w:t>
      </w:r>
      <w:r w:rsidR="00720BE2">
        <w:rPr>
          <w:rFonts w:ascii="Arial" w:hAnsi="Arial" w:cs="Arial"/>
        </w:rPr>
        <w:t>i</w:t>
      </w:r>
      <w:r w:rsidRPr="00B65365">
        <w:rPr>
          <w:rFonts w:ascii="Arial" w:hAnsi="Arial" w:cs="Arial"/>
        </w:rPr>
        <w:t>v).</w:t>
      </w:r>
    </w:p>
    <w:p w14:paraId="141333FD" w14:textId="77777777" w:rsidR="007039E3" w:rsidRDefault="007039E3" w:rsidP="00EE5C4D">
      <w:pPr>
        <w:tabs>
          <w:tab w:val="left" w:pos="810"/>
        </w:tabs>
        <w:spacing w:after="120"/>
        <w:jc w:val="both"/>
        <w:rPr>
          <w:rFonts w:ascii="Arial" w:hAnsi="Arial" w:cs="Arial"/>
          <w:b/>
        </w:rPr>
      </w:pPr>
    </w:p>
    <w:p w14:paraId="3FBE3864" w14:textId="77777777" w:rsidR="008B315E" w:rsidRPr="00F26752" w:rsidRDefault="008B315E" w:rsidP="00EE5C4D">
      <w:pPr>
        <w:tabs>
          <w:tab w:val="left" w:pos="810"/>
        </w:tabs>
        <w:spacing w:after="120"/>
        <w:jc w:val="both"/>
        <w:rPr>
          <w:rFonts w:ascii="Arial" w:hAnsi="Arial" w:cs="Arial"/>
          <w:b/>
        </w:rPr>
      </w:pPr>
      <w:r w:rsidRPr="00F26752">
        <w:rPr>
          <w:rFonts w:ascii="Arial" w:hAnsi="Arial" w:cs="Arial"/>
          <w:b/>
        </w:rPr>
        <w:t xml:space="preserve">C. </w:t>
      </w:r>
      <w:r w:rsidR="006C735A" w:rsidRPr="00F26752">
        <w:rPr>
          <w:rFonts w:ascii="Arial" w:hAnsi="Arial" w:cs="Arial"/>
          <w:b/>
        </w:rPr>
        <w:t>Economic Returns</w:t>
      </w:r>
    </w:p>
    <w:p w14:paraId="7F86391A" w14:textId="77777777" w:rsidR="00673E79" w:rsidRPr="00673E79" w:rsidRDefault="00673E79" w:rsidP="00EE5C4D">
      <w:pPr>
        <w:pStyle w:val="ListParagraph"/>
        <w:numPr>
          <w:ilvl w:val="1"/>
          <w:numId w:val="5"/>
        </w:numPr>
        <w:tabs>
          <w:tab w:val="left" w:pos="810"/>
        </w:tabs>
        <w:spacing w:after="120"/>
        <w:contextualSpacing w:val="0"/>
        <w:jc w:val="both"/>
        <w:rPr>
          <w:rFonts w:ascii="Arial" w:hAnsi="Arial" w:cs="Arial"/>
        </w:rPr>
      </w:pPr>
      <w:r>
        <w:rPr>
          <w:rFonts w:ascii="Arial" w:hAnsi="Arial" w:cs="Arial"/>
        </w:rPr>
        <w:t xml:space="preserve">The </w:t>
      </w:r>
      <w:r w:rsidR="004C4AD8">
        <w:rPr>
          <w:rFonts w:ascii="Arial" w:hAnsi="Arial" w:cs="Arial"/>
        </w:rPr>
        <w:t>net</w:t>
      </w:r>
      <w:r>
        <w:rPr>
          <w:rFonts w:ascii="Arial" w:hAnsi="Arial" w:cs="Arial"/>
        </w:rPr>
        <w:t xml:space="preserve"> benefits of the program are constituted by the sum of the value of the costs saving</w:t>
      </w:r>
      <w:r w:rsidR="004C4AD8">
        <w:rPr>
          <w:rFonts w:ascii="Arial" w:hAnsi="Arial" w:cs="Arial"/>
        </w:rPr>
        <w:t>s</w:t>
      </w:r>
      <w:r>
        <w:rPr>
          <w:rFonts w:ascii="Arial" w:hAnsi="Arial" w:cs="Arial"/>
        </w:rPr>
        <w:t xml:space="preserve"> and the emissions reduced for each year</w:t>
      </w:r>
    </w:p>
    <w:p w14:paraId="5B49A669" w14:textId="77777777" w:rsidR="008B315E" w:rsidRDefault="006C735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b/>
        </w:rPr>
        <w:t>Net Present Value</w:t>
      </w:r>
      <w:r w:rsidRPr="00F26752">
        <w:rPr>
          <w:rFonts w:ascii="Arial" w:hAnsi="Arial" w:cs="Arial"/>
        </w:rPr>
        <w:t xml:space="preserve">. Based on the </w:t>
      </w:r>
      <w:r w:rsidR="00886F04">
        <w:rPr>
          <w:rFonts w:ascii="Arial" w:hAnsi="Arial" w:cs="Arial"/>
        </w:rPr>
        <w:t xml:space="preserve">cost savings </w:t>
      </w:r>
      <w:r w:rsidR="004C4AD8">
        <w:rPr>
          <w:rFonts w:ascii="Arial" w:hAnsi="Arial" w:cs="Arial"/>
        </w:rPr>
        <w:t xml:space="preserve">and emissions reduced </w:t>
      </w:r>
      <w:r w:rsidRPr="00F26752">
        <w:rPr>
          <w:rFonts w:ascii="Arial" w:hAnsi="Arial" w:cs="Arial"/>
        </w:rPr>
        <w:t xml:space="preserve">detailed above, </w:t>
      </w:r>
      <w:r w:rsidR="004C4AD8">
        <w:rPr>
          <w:rFonts w:ascii="Arial" w:hAnsi="Arial" w:cs="Arial"/>
        </w:rPr>
        <w:t>the net benefits</w:t>
      </w:r>
      <w:r w:rsidRPr="00F26752">
        <w:rPr>
          <w:rFonts w:ascii="Arial" w:hAnsi="Arial" w:cs="Arial"/>
        </w:rPr>
        <w:t xml:space="preserve">, discounted at a rate of 12%, produce a net present value </w:t>
      </w:r>
      <w:r w:rsidR="008810D9" w:rsidRPr="00F26752">
        <w:rPr>
          <w:rFonts w:ascii="Arial" w:hAnsi="Arial" w:cs="Arial"/>
        </w:rPr>
        <w:t>(NPV) for the program of US</w:t>
      </w:r>
      <w:r w:rsidR="00F26752" w:rsidRPr="00F26752">
        <w:rPr>
          <w:rFonts w:ascii="Arial" w:hAnsi="Arial" w:cs="Arial"/>
        </w:rPr>
        <w:t>$</w:t>
      </w:r>
      <w:r w:rsidR="004C4AD8">
        <w:rPr>
          <w:rFonts w:ascii="Arial" w:hAnsi="Arial" w:cs="Arial"/>
        </w:rPr>
        <w:t>27.92</w:t>
      </w:r>
      <w:r w:rsidRPr="00F26752">
        <w:rPr>
          <w:rFonts w:ascii="Arial" w:hAnsi="Arial" w:cs="Arial"/>
        </w:rPr>
        <w:t xml:space="preserve"> million. A detailed chart with the calculations is annexed at the end of this document.</w:t>
      </w:r>
    </w:p>
    <w:p w14:paraId="1E09AF0F" w14:textId="77777777" w:rsidR="00207A95" w:rsidRDefault="00207A95" w:rsidP="00207A95">
      <w:pPr>
        <w:pStyle w:val="ListParagraph"/>
        <w:tabs>
          <w:tab w:val="left" w:pos="810"/>
        </w:tabs>
        <w:spacing w:after="120"/>
        <w:contextualSpacing w:val="0"/>
        <w:jc w:val="both"/>
        <w:rPr>
          <w:rFonts w:ascii="Arial" w:hAnsi="Arial" w:cs="Arial"/>
        </w:rPr>
      </w:pPr>
    </w:p>
    <w:p w14:paraId="3381EFAC" w14:textId="77777777" w:rsidR="00733014" w:rsidRDefault="00733014" w:rsidP="00733014">
      <w:pPr>
        <w:tabs>
          <w:tab w:val="left" w:pos="810"/>
        </w:tabs>
        <w:spacing w:after="120"/>
        <w:jc w:val="both"/>
        <w:rPr>
          <w:rFonts w:ascii="Arial" w:hAnsi="Arial" w:cs="Arial"/>
        </w:rPr>
      </w:pPr>
    </w:p>
    <w:p w14:paraId="1AD4780C" w14:textId="77777777" w:rsidR="006C735A" w:rsidRDefault="006C735A" w:rsidP="002464B6">
      <w:pPr>
        <w:pStyle w:val="Paragraph"/>
        <w:numPr>
          <w:ilvl w:val="0"/>
          <w:numId w:val="0"/>
        </w:numPr>
        <w:spacing w:before="0" w:after="0" w:line="276" w:lineRule="auto"/>
        <w:ind w:left="360" w:firstLine="360"/>
        <w:jc w:val="center"/>
        <w:rPr>
          <w:rFonts w:ascii="Arial" w:hAnsi="Arial" w:cs="Arial"/>
          <w:b/>
          <w:bCs/>
          <w:sz w:val="20"/>
          <w:szCs w:val="20"/>
        </w:rPr>
      </w:pPr>
      <w:r w:rsidRPr="00F26752">
        <w:rPr>
          <w:rFonts w:ascii="Arial" w:hAnsi="Arial" w:cs="Arial"/>
          <w:b/>
          <w:sz w:val="20"/>
          <w:szCs w:val="20"/>
        </w:rPr>
        <w:lastRenderedPageBreak/>
        <w:t xml:space="preserve">Table </w:t>
      </w:r>
      <w:r w:rsidR="00491E01">
        <w:rPr>
          <w:rFonts w:ascii="Arial" w:hAnsi="Arial" w:cs="Arial"/>
          <w:b/>
          <w:sz w:val="20"/>
          <w:szCs w:val="20"/>
        </w:rPr>
        <w:t>3.3</w:t>
      </w:r>
      <w:r w:rsidR="0031354C" w:rsidRPr="00F26752">
        <w:rPr>
          <w:rFonts w:ascii="Arial" w:hAnsi="Arial" w:cs="Arial"/>
          <w:b/>
          <w:sz w:val="20"/>
          <w:szCs w:val="20"/>
        </w:rPr>
        <w:t xml:space="preserve"> Summary</w:t>
      </w:r>
      <w:r w:rsidRPr="00F26752">
        <w:rPr>
          <w:rFonts w:ascii="Arial" w:hAnsi="Arial" w:cs="Arial"/>
          <w:b/>
          <w:bCs/>
          <w:sz w:val="20"/>
          <w:szCs w:val="20"/>
        </w:rPr>
        <w:t xml:space="preserve"> of </w:t>
      </w:r>
      <w:r w:rsidR="004C4AD8">
        <w:rPr>
          <w:rFonts w:ascii="Arial" w:hAnsi="Arial" w:cs="Arial"/>
          <w:b/>
          <w:bCs/>
          <w:sz w:val="20"/>
          <w:szCs w:val="20"/>
        </w:rPr>
        <w:t>Cost-Benefit</w:t>
      </w:r>
      <w:r w:rsidRPr="00F26752">
        <w:rPr>
          <w:rFonts w:ascii="Arial" w:hAnsi="Arial" w:cs="Arial"/>
          <w:b/>
          <w:bCs/>
          <w:sz w:val="20"/>
          <w:szCs w:val="20"/>
        </w:rPr>
        <w:t xml:space="preserve"> Analysis</w:t>
      </w:r>
    </w:p>
    <w:p w14:paraId="640E20AD" w14:textId="77777777" w:rsidR="004C4AD8" w:rsidRPr="00F26752" w:rsidRDefault="004C4AD8" w:rsidP="007A2154">
      <w:pPr>
        <w:pStyle w:val="Paragraph"/>
        <w:numPr>
          <w:ilvl w:val="0"/>
          <w:numId w:val="0"/>
        </w:numPr>
        <w:spacing w:before="0" w:after="0" w:line="276" w:lineRule="auto"/>
        <w:ind w:left="360" w:firstLine="360"/>
        <w:jc w:val="center"/>
        <w:rPr>
          <w:rFonts w:ascii="Arial" w:hAnsi="Arial" w:cs="Arial"/>
          <w:b/>
          <w:bCs/>
          <w:sz w:val="20"/>
          <w:szCs w:val="20"/>
        </w:rPr>
      </w:pPr>
    </w:p>
    <w:tbl>
      <w:tblPr>
        <w:tblStyle w:val="LightList"/>
        <w:tblW w:w="4488" w:type="dxa"/>
        <w:tblInd w:w="2506" w:type="dxa"/>
        <w:tblLook w:val="04A0" w:firstRow="1" w:lastRow="0" w:firstColumn="1" w:lastColumn="0" w:noHBand="0" w:noVBand="1"/>
      </w:tblPr>
      <w:tblGrid>
        <w:gridCol w:w="3510"/>
        <w:gridCol w:w="978"/>
      </w:tblGrid>
      <w:tr w:rsidR="006C735A" w:rsidRPr="00F26752" w14:paraId="7FA1DAB4" w14:textId="77777777" w:rsidTr="002464B6">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000000" w:themeColor="text1"/>
              <w:bottom w:val="nil"/>
            </w:tcBorders>
            <w:shd w:val="clear" w:color="auto" w:fill="17365D" w:themeFill="text2" w:themeFillShade="BF"/>
            <w:noWrap/>
            <w:hideMark/>
          </w:tcPr>
          <w:p w14:paraId="0D086F28" w14:textId="77777777" w:rsidR="006C735A" w:rsidRPr="00F26752" w:rsidRDefault="006C735A" w:rsidP="007A2154">
            <w:pPr>
              <w:spacing w:line="276" w:lineRule="auto"/>
              <w:jc w:val="both"/>
              <w:rPr>
                <w:rFonts w:ascii="Arial" w:eastAsia="Times New Roman" w:hAnsi="Arial" w:cs="Arial"/>
                <w:b w:val="0"/>
                <w:bCs w:val="0"/>
                <w:sz w:val="20"/>
                <w:szCs w:val="20"/>
              </w:rPr>
            </w:pPr>
            <w:r w:rsidRPr="00F26752">
              <w:rPr>
                <w:rFonts w:ascii="Arial" w:eastAsia="Times New Roman" w:hAnsi="Arial" w:cs="Arial"/>
                <w:b w:val="0"/>
                <w:bCs w:val="0"/>
                <w:sz w:val="20"/>
                <w:szCs w:val="20"/>
              </w:rPr>
              <w:t>NPV per concept</w:t>
            </w:r>
          </w:p>
        </w:tc>
        <w:tc>
          <w:tcPr>
            <w:tcW w:w="978" w:type="dxa"/>
            <w:tcBorders>
              <w:top w:val="single" w:sz="8" w:space="0" w:color="000000" w:themeColor="text1"/>
              <w:bottom w:val="nil"/>
            </w:tcBorders>
            <w:shd w:val="clear" w:color="auto" w:fill="17365D" w:themeFill="text2" w:themeFillShade="BF"/>
            <w:noWrap/>
            <w:hideMark/>
          </w:tcPr>
          <w:p w14:paraId="179D1100" w14:textId="77777777" w:rsidR="006C735A" w:rsidRPr="00F26752" w:rsidRDefault="006C735A" w:rsidP="007A2154">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rPr>
            </w:pPr>
            <w:r w:rsidRPr="00F26752">
              <w:rPr>
                <w:rFonts w:ascii="Arial" w:eastAsia="Times New Roman" w:hAnsi="Arial" w:cs="Arial"/>
                <w:b w:val="0"/>
                <w:bCs w:val="0"/>
                <w:sz w:val="20"/>
                <w:szCs w:val="20"/>
              </w:rPr>
              <w:t>(MUS</w:t>
            </w:r>
            <w:r w:rsidR="00F26752" w:rsidRPr="00F26752">
              <w:rPr>
                <w:rFonts w:ascii="Arial" w:eastAsia="Times New Roman" w:hAnsi="Arial" w:cs="Arial"/>
                <w:b w:val="0"/>
                <w:bCs w:val="0"/>
                <w:sz w:val="20"/>
                <w:szCs w:val="20"/>
              </w:rPr>
              <w:t>$</w:t>
            </w:r>
            <w:r w:rsidRPr="00F26752">
              <w:rPr>
                <w:rFonts w:ascii="Arial" w:eastAsia="Times New Roman" w:hAnsi="Arial" w:cs="Arial"/>
                <w:b w:val="0"/>
                <w:bCs w:val="0"/>
                <w:sz w:val="20"/>
                <w:szCs w:val="20"/>
              </w:rPr>
              <w:t>)</w:t>
            </w:r>
          </w:p>
        </w:tc>
      </w:tr>
      <w:tr w:rsidR="006C735A" w:rsidRPr="00F26752" w14:paraId="0A52AE52" w14:textId="77777777" w:rsidTr="002464B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510" w:type="dxa"/>
            <w:noWrap/>
            <w:vAlign w:val="center"/>
          </w:tcPr>
          <w:p w14:paraId="7F5023F2" w14:textId="77777777" w:rsidR="006C735A" w:rsidRPr="00F26752" w:rsidRDefault="004C4AD8" w:rsidP="004C4AD8">
            <w:pPr>
              <w:spacing w:line="276" w:lineRule="auto"/>
              <w:rPr>
                <w:rFonts w:ascii="Arial" w:eastAsia="Times New Roman" w:hAnsi="Arial" w:cs="Arial"/>
                <w:b w:val="0"/>
                <w:bCs w:val="0"/>
                <w:sz w:val="20"/>
                <w:szCs w:val="20"/>
              </w:rPr>
            </w:pPr>
            <w:r>
              <w:rPr>
                <w:rFonts w:ascii="Arial" w:eastAsia="Times New Roman" w:hAnsi="Arial" w:cs="Arial"/>
                <w:b w:val="0"/>
                <w:bCs w:val="0"/>
                <w:sz w:val="20"/>
                <w:szCs w:val="20"/>
              </w:rPr>
              <w:t>Cost Savings</w:t>
            </w:r>
          </w:p>
        </w:tc>
        <w:tc>
          <w:tcPr>
            <w:tcW w:w="978" w:type="dxa"/>
            <w:noWrap/>
            <w:vAlign w:val="center"/>
          </w:tcPr>
          <w:p w14:paraId="40800528" w14:textId="77777777" w:rsidR="006C735A" w:rsidRPr="00F26752" w:rsidRDefault="00D021C5" w:rsidP="004C4AD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rPr>
            </w:pPr>
            <w:r>
              <w:rPr>
                <w:rFonts w:ascii="Arial" w:eastAsia="Times New Roman" w:hAnsi="Arial" w:cs="Arial"/>
                <w:bCs/>
                <w:sz w:val="20"/>
                <w:szCs w:val="20"/>
              </w:rPr>
              <w:t>27.98</w:t>
            </w:r>
          </w:p>
        </w:tc>
      </w:tr>
      <w:tr w:rsidR="006C735A" w:rsidRPr="00F26752" w14:paraId="05166FD8" w14:textId="77777777" w:rsidTr="002464B6">
        <w:trPr>
          <w:trHeight w:val="421"/>
        </w:trPr>
        <w:tc>
          <w:tcPr>
            <w:cnfStyle w:val="001000000000" w:firstRow="0" w:lastRow="0" w:firstColumn="1" w:lastColumn="0" w:oddVBand="0" w:evenVBand="0" w:oddHBand="0" w:evenHBand="0" w:firstRowFirstColumn="0" w:firstRowLastColumn="0" w:lastRowFirstColumn="0" w:lastRowLastColumn="0"/>
            <w:tcW w:w="3510" w:type="dxa"/>
            <w:tcBorders>
              <w:bottom w:val="single" w:sz="8" w:space="0" w:color="000000" w:themeColor="text1"/>
            </w:tcBorders>
            <w:noWrap/>
            <w:vAlign w:val="center"/>
          </w:tcPr>
          <w:p w14:paraId="20F62AA6" w14:textId="77777777" w:rsidR="006C735A" w:rsidRPr="00F26752" w:rsidRDefault="006C735A" w:rsidP="004C4AD8">
            <w:pPr>
              <w:spacing w:line="276" w:lineRule="auto"/>
              <w:rPr>
                <w:rFonts w:ascii="Arial" w:eastAsia="Times New Roman" w:hAnsi="Arial" w:cs="Arial"/>
                <w:b w:val="0"/>
                <w:bCs w:val="0"/>
                <w:sz w:val="20"/>
                <w:szCs w:val="20"/>
              </w:rPr>
            </w:pPr>
            <w:r w:rsidRPr="00F26752">
              <w:rPr>
                <w:rFonts w:ascii="Arial" w:eastAsia="Times New Roman" w:hAnsi="Arial" w:cs="Arial"/>
                <w:b w:val="0"/>
                <w:bCs w:val="0"/>
                <w:sz w:val="20"/>
                <w:szCs w:val="20"/>
              </w:rPr>
              <w:t>Total CO2 reductions</w:t>
            </w:r>
          </w:p>
        </w:tc>
        <w:tc>
          <w:tcPr>
            <w:tcW w:w="978" w:type="dxa"/>
            <w:tcBorders>
              <w:bottom w:val="single" w:sz="8" w:space="0" w:color="000000" w:themeColor="text1"/>
            </w:tcBorders>
            <w:noWrap/>
            <w:vAlign w:val="center"/>
          </w:tcPr>
          <w:p w14:paraId="1ECEF840" w14:textId="77777777" w:rsidR="006C735A" w:rsidRPr="00F26752" w:rsidRDefault="002464B6" w:rsidP="004C4AD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rPr>
            </w:pPr>
            <w:r>
              <w:rPr>
                <w:rFonts w:ascii="Arial" w:eastAsia="Times New Roman" w:hAnsi="Arial" w:cs="Arial"/>
                <w:bCs/>
                <w:sz w:val="20"/>
                <w:szCs w:val="20"/>
              </w:rPr>
              <w:t>5.29</w:t>
            </w:r>
          </w:p>
        </w:tc>
      </w:tr>
      <w:tr w:rsidR="0051251F" w:rsidRPr="00F26752" w14:paraId="45374CB8" w14:textId="77777777" w:rsidTr="002464B6">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510" w:type="dxa"/>
            <w:shd w:val="clear" w:color="auto" w:fill="auto"/>
            <w:noWrap/>
            <w:vAlign w:val="center"/>
            <w:hideMark/>
          </w:tcPr>
          <w:p w14:paraId="48CD549C" w14:textId="77777777" w:rsidR="0051251F" w:rsidRPr="004C4AD8" w:rsidRDefault="0051251F" w:rsidP="004C4AD8">
            <w:pPr>
              <w:spacing w:line="276" w:lineRule="auto"/>
              <w:rPr>
                <w:rFonts w:ascii="Arial" w:eastAsia="Times New Roman" w:hAnsi="Arial" w:cs="Arial"/>
                <w:bCs w:val="0"/>
                <w:sz w:val="20"/>
                <w:szCs w:val="20"/>
              </w:rPr>
            </w:pPr>
            <w:r w:rsidRPr="004C4AD8">
              <w:rPr>
                <w:rFonts w:ascii="Arial" w:eastAsia="Times New Roman" w:hAnsi="Arial" w:cs="Arial"/>
                <w:bCs w:val="0"/>
                <w:sz w:val="20"/>
                <w:szCs w:val="20"/>
              </w:rPr>
              <w:t>Program NPV</w:t>
            </w:r>
          </w:p>
        </w:tc>
        <w:tc>
          <w:tcPr>
            <w:tcW w:w="978" w:type="dxa"/>
            <w:shd w:val="clear" w:color="auto" w:fill="auto"/>
            <w:noWrap/>
            <w:vAlign w:val="center"/>
            <w:hideMark/>
          </w:tcPr>
          <w:p w14:paraId="0833C5C8" w14:textId="77777777" w:rsidR="0051251F" w:rsidRPr="004C4AD8" w:rsidRDefault="002464B6" w:rsidP="00D021C5">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20"/>
                <w:szCs w:val="20"/>
              </w:rPr>
            </w:pPr>
            <w:r>
              <w:rPr>
                <w:rFonts w:ascii="Arial" w:eastAsia="Times New Roman" w:hAnsi="Arial" w:cs="Arial"/>
                <w:b/>
                <w:bCs/>
                <w:sz w:val="20"/>
                <w:szCs w:val="20"/>
              </w:rPr>
              <w:t>33.2</w:t>
            </w:r>
            <w:r w:rsidR="00D021C5">
              <w:rPr>
                <w:rFonts w:ascii="Arial" w:eastAsia="Times New Roman" w:hAnsi="Arial" w:cs="Arial"/>
                <w:b/>
                <w:bCs/>
                <w:sz w:val="20"/>
                <w:szCs w:val="20"/>
              </w:rPr>
              <w:t>7</w:t>
            </w:r>
          </w:p>
        </w:tc>
      </w:tr>
    </w:tbl>
    <w:p w14:paraId="7586F81F" w14:textId="77777777" w:rsidR="006C735A" w:rsidRPr="00F26752" w:rsidRDefault="006C735A" w:rsidP="007A2154">
      <w:pPr>
        <w:pStyle w:val="ListParagraph"/>
        <w:tabs>
          <w:tab w:val="left" w:pos="810"/>
        </w:tabs>
        <w:spacing w:after="120"/>
        <w:contextualSpacing w:val="0"/>
        <w:jc w:val="both"/>
        <w:rPr>
          <w:rFonts w:ascii="Arial" w:hAnsi="Arial" w:cs="Arial"/>
        </w:rPr>
      </w:pPr>
    </w:p>
    <w:p w14:paraId="55E9AFD3" w14:textId="77777777" w:rsidR="00A56B29" w:rsidRPr="00F26752" w:rsidRDefault="0051251F"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As it can be seen, </w:t>
      </w:r>
      <w:r w:rsidR="001538A8" w:rsidRPr="00F26752">
        <w:rPr>
          <w:rFonts w:ascii="Arial" w:hAnsi="Arial" w:cs="Arial"/>
        </w:rPr>
        <w:t xml:space="preserve">the </w:t>
      </w:r>
      <w:r w:rsidR="002464B6">
        <w:rPr>
          <w:rFonts w:ascii="Arial" w:hAnsi="Arial" w:cs="Arial"/>
        </w:rPr>
        <w:t xml:space="preserve">price incentives devised by the Energy Authorities of Colombia </w:t>
      </w:r>
      <w:r w:rsidR="00A66AE7">
        <w:rPr>
          <w:rFonts w:ascii="Arial" w:hAnsi="Arial" w:cs="Arial"/>
        </w:rPr>
        <w:t>allow the existence of a business model that is profitable for the prospective investors in renewable energy. The low O&amp;M costs of RE offset in the long run the high investment costs compared to diesel generation.</w:t>
      </w:r>
      <w:r w:rsidR="002464B6">
        <w:rPr>
          <w:rFonts w:ascii="Arial" w:hAnsi="Arial" w:cs="Arial"/>
        </w:rPr>
        <w:t xml:space="preserve"> </w:t>
      </w:r>
      <w:r w:rsidR="00A66AE7">
        <w:rPr>
          <w:rFonts w:ascii="Arial" w:hAnsi="Arial" w:cs="Arial"/>
        </w:rPr>
        <w:t xml:space="preserve">This speaks to the importance of easing the </w:t>
      </w:r>
      <w:r w:rsidR="0098017D">
        <w:rPr>
          <w:rFonts w:ascii="Arial" w:hAnsi="Arial" w:cs="Arial"/>
        </w:rPr>
        <w:t>credit</w:t>
      </w:r>
      <w:r w:rsidR="00A66AE7">
        <w:rPr>
          <w:rFonts w:ascii="Arial" w:hAnsi="Arial" w:cs="Arial"/>
        </w:rPr>
        <w:t xml:space="preserve"> barriers that are cu</w:t>
      </w:r>
      <w:r w:rsidR="0098017D">
        <w:rPr>
          <w:rFonts w:ascii="Arial" w:hAnsi="Arial" w:cs="Arial"/>
        </w:rPr>
        <w:t>rrently present in Colombia for this type of investments.</w:t>
      </w:r>
    </w:p>
    <w:p w14:paraId="010B2785" w14:textId="77777777" w:rsidR="006C735A" w:rsidRPr="00F26752" w:rsidRDefault="00A66AE7" w:rsidP="00EE5C4D">
      <w:pPr>
        <w:pStyle w:val="ListParagraph"/>
        <w:numPr>
          <w:ilvl w:val="1"/>
          <w:numId w:val="5"/>
        </w:numPr>
        <w:tabs>
          <w:tab w:val="left" w:pos="810"/>
        </w:tabs>
        <w:spacing w:after="120"/>
        <w:contextualSpacing w:val="0"/>
        <w:jc w:val="both"/>
        <w:rPr>
          <w:rFonts w:ascii="Arial" w:hAnsi="Arial" w:cs="Arial"/>
        </w:rPr>
      </w:pPr>
      <w:r>
        <w:rPr>
          <w:rFonts w:ascii="Arial" w:hAnsi="Arial" w:cs="Arial"/>
        </w:rPr>
        <w:t>On the other hand the social/environmental benefits have a NPV of USD 5.3 million, which account for the important reduction in emissions that the use of the planned renewable energies generates</w:t>
      </w:r>
      <w:r w:rsidR="00A56B29" w:rsidRPr="00F26752">
        <w:rPr>
          <w:rFonts w:ascii="Arial" w:hAnsi="Arial" w:cs="Arial"/>
        </w:rPr>
        <w:t>.</w:t>
      </w:r>
    </w:p>
    <w:p w14:paraId="23F7C214" w14:textId="77777777" w:rsidR="00A56B29" w:rsidRDefault="00A56B29"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It is also important to mention that, in addition to the benefits considered in this analysis, the project is expected to have a substantial demonstration effect on the private sector investors and developers</w:t>
      </w:r>
      <w:r w:rsidR="00A66AE7">
        <w:rPr>
          <w:rFonts w:ascii="Arial" w:hAnsi="Arial" w:cs="Arial"/>
        </w:rPr>
        <w:t xml:space="preserve"> that can increase the social benefits for the lifespan of the project</w:t>
      </w:r>
      <w:r w:rsidRPr="00F26752">
        <w:rPr>
          <w:rFonts w:ascii="Arial" w:hAnsi="Arial" w:cs="Arial"/>
        </w:rPr>
        <w:t>.</w:t>
      </w:r>
    </w:p>
    <w:p w14:paraId="72DD4BE9" w14:textId="77777777" w:rsidR="002C095A" w:rsidRDefault="002C095A" w:rsidP="002C095A">
      <w:pPr>
        <w:tabs>
          <w:tab w:val="left" w:pos="810"/>
        </w:tabs>
        <w:spacing w:after="120"/>
        <w:jc w:val="both"/>
        <w:rPr>
          <w:rFonts w:ascii="Arial" w:hAnsi="Arial" w:cs="Arial"/>
        </w:rPr>
      </w:pPr>
    </w:p>
    <w:p w14:paraId="2EB61C66" w14:textId="77777777" w:rsidR="002C095A" w:rsidRPr="002C095A" w:rsidRDefault="002C095A" w:rsidP="002C095A">
      <w:pPr>
        <w:tabs>
          <w:tab w:val="left" w:pos="810"/>
        </w:tabs>
        <w:spacing w:after="120"/>
        <w:jc w:val="both"/>
        <w:rPr>
          <w:rFonts w:ascii="Arial" w:hAnsi="Arial" w:cs="Arial"/>
        </w:rPr>
      </w:pPr>
    </w:p>
    <w:p w14:paraId="1B6C42C2" w14:textId="77777777" w:rsidR="00732A44" w:rsidRDefault="00732A44" w:rsidP="00997B4E">
      <w:pPr>
        <w:pStyle w:val="ListParagraph"/>
        <w:tabs>
          <w:tab w:val="left" w:pos="810"/>
        </w:tabs>
        <w:spacing w:after="120" w:line="240" w:lineRule="auto"/>
        <w:contextualSpacing w:val="0"/>
        <w:jc w:val="both"/>
        <w:rPr>
          <w:rFonts w:ascii="Arial" w:hAnsi="Arial" w:cs="Arial"/>
        </w:rPr>
      </w:pPr>
    </w:p>
    <w:p w14:paraId="748DA0BF"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785CB878"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181DC1D1"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48A129E5"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69D10E28"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1418F7D0"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1CE7B3E4"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7FECF6AF"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40C09501"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372123C0"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0D65552B"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038112FD" w14:textId="77777777" w:rsidR="00207A95" w:rsidRDefault="00207A95" w:rsidP="00997B4E">
      <w:pPr>
        <w:pStyle w:val="ListParagraph"/>
        <w:tabs>
          <w:tab w:val="left" w:pos="810"/>
        </w:tabs>
        <w:spacing w:after="120" w:line="240" w:lineRule="auto"/>
        <w:contextualSpacing w:val="0"/>
        <w:jc w:val="both"/>
        <w:rPr>
          <w:rFonts w:ascii="Arial" w:hAnsi="Arial" w:cs="Arial"/>
        </w:rPr>
      </w:pPr>
    </w:p>
    <w:p w14:paraId="09C22883" w14:textId="77777777" w:rsidR="00207A95" w:rsidRPr="00F26752" w:rsidRDefault="00207A95" w:rsidP="00997B4E">
      <w:pPr>
        <w:pStyle w:val="ListParagraph"/>
        <w:tabs>
          <w:tab w:val="left" w:pos="810"/>
        </w:tabs>
        <w:spacing w:after="120" w:line="240" w:lineRule="auto"/>
        <w:contextualSpacing w:val="0"/>
        <w:jc w:val="both"/>
        <w:rPr>
          <w:rFonts w:ascii="Arial" w:hAnsi="Arial" w:cs="Arial"/>
        </w:rPr>
      </w:pPr>
    </w:p>
    <w:p w14:paraId="2349CDD1" w14:textId="77777777" w:rsidR="00732A44" w:rsidRPr="00F26752" w:rsidRDefault="00732A44" w:rsidP="0038015A">
      <w:pPr>
        <w:pStyle w:val="ListParagraph"/>
        <w:numPr>
          <w:ilvl w:val="0"/>
          <w:numId w:val="5"/>
        </w:numPr>
        <w:tabs>
          <w:tab w:val="left" w:pos="810"/>
        </w:tabs>
        <w:spacing w:after="120" w:line="240" w:lineRule="auto"/>
        <w:jc w:val="center"/>
        <w:rPr>
          <w:rFonts w:ascii="Arial" w:hAnsi="Arial" w:cs="Arial"/>
          <w:b/>
          <w:smallCaps/>
          <w:sz w:val="24"/>
          <w:szCs w:val="24"/>
        </w:rPr>
      </w:pPr>
      <w:r w:rsidRPr="00F26752">
        <w:rPr>
          <w:rFonts w:ascii="Arial" w:hAnsi="Arial" w:cs="Arial"/>
          <w:b/>
          <w:smallCaps/>
          <w:sz w:val="24"/>
          <w:szCs w:val="24"/>
        </w:rPr>
        <w:lastRenderedPageBreak/>
        <w:t>Sensitivity Analysis</w:t>
      </w:r>
    </w:p>
    <w:p w14:paraId="61698D63" w14:textId="77777777" w:rsidR="00732A44" w:rsidRPr="00F26752" w:rsidRDefault="00732A44" w:rsidP="00997B4E">
      <w:pPr>
        <w:pStyle w:val="ListParagraph"/>
        <w:tabs>
          <w:tab w:val="left" w:pos="810"/>
        </w:tabs>
        <w:spacing w:after="120" w:line="240" w:lineRule="auto"/>
        <w:ind w:left="360"/>
        <w:jc w:val="both"/>
        <w:rPr>
          <w:rFonts w:ascii="Arial" w:hAnsi="Arial" w:cs="Arial"/>
          <w:b/>
        </w:rPr>
      </w:pPr>
    </w:p>
    <w:p w14:paraId="2961ED3A" w14:textId="77777777" w:rsidR="00732A44" w:rsidRPr="00F26752" w:rsidRDefault="00732A44"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Complementary to these results, a sensitivity analysis is included in this section, where variations on key parameters (</w:t>
      </w:r>
      <w:r w:rsidR="00DD6E5A">
        <w:rPr>
          <w:rFonts w:ascii="Arial" w:hAnsi="Arial" w:cs="Arial"/>
        </w:rPr>
        <w:t xml:space="preserve">O&amp;M costs </w:t>
      </w:r>
      <w:r w:rsidR="0086368C">
        <w:rPr>
          <w:rFonts w:ascii="Arial" w:hAnsi="Arial" w:cs="Arial"/>
        </w:rPr>
        <w:t xml:space="preserve">for renewable energy </w:t>
      </w:r>
      <w:r w:rsidR="00DD6E5A">
        <w:rPr>
          <w:rFonts w:ascii="Arial" w:hAnsi="Arial" w:cs="Arial"/>
        </w:rPr>
        <w:t>and participation of technologies</w:t>
      </w:r>
      <w:r w:rsidR="0086368C">
        <w:rPr>
          <w:rFonts w:ascii="Arial" w:hAnsi="Arial" w:cs="Arial"/>
        </w:rPr>
        <w:t>)</w:t>
      </w:r>
      <w:r w:rsidRPr="00F26752">
        <w:rPr>
          <w:rFonts w:ascii="Arial" w:hAnsi="Arial" w:cs="Arial"/>
        </w:rPr>
        <w:t xml:space="preserve"> are simulated to gauge their impact on the benefits. In other words, values are stressed in order to verify the tolerance of the program to variations on the conditions that may have an impact on the results established above.</w:t>
      </w:r>
    </w:p>
    <w:p w14:paraId="2CD690E1" w14:textId="77777777" w:rsidR="00F37EAB" w:rsidRPr="00F26752" w:rsidRDefault="00F37EAB"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The parameters that were changed for the sensitivity analysis and each of their </w:t>
      </w:r>
      <w:r w:rsidR="0086368C">
        <w:rPr>
          <w:rFonts w:ascii="Arial" w:hAnsi="Arial" w:cs="Arial"/>
        </w:rPr>
        <w:t>corresponding private NPV and total NPV values</w:t>
      </w:r>
      <w:r w:rsidRPr="00F26752">
        <w:rPr>
          <w:rFonts w:ascii="Arial" w:hAnsi="Arial" w:cs="Arial"/>
        </w:rPr>
        <w:t xml:space="preserve"> are shown in the table below</w:t>
      </w:r>
      <w:r w:rsidR="00CC4EAF" w:rsidRPr="00F26752">
        <w:rPr>
          <w:rFonts w:ascii="Arial" w:hAnsi="Arial" w:cs="Arial"/>
        </w:rPr>
        <w:t>.</w:t>
      </w:r>
    </w:p>
    <w:p w14:paraId="3E80D42A" w14:textId="77777777" w:rsidR="0086368C" w:rsidRDefault="0086368C" w:rsidP="0086368C">
      <w:pPr>
        <w:pStyle w:val="Paragraph"/>
        <w:numPr>
          <w:ilvl w:val="0"/>
          <w:numId w:val="0"/>
        </w:numPr>
        <w:spacing w:before="0" w:after="0" w:line="276" w:lineRule="auto"/>
        <w:ind w:left="360"/>
        <w:jc w:val="center"/>
        <w:rPr>
          <w:rFonts w:ascii="Arial" w:hAnsi="Arial" w:cs="Arial"/>
          <w:b/>
          <w:sz w:val="20"/>
          <w:szCs w:val="20"/>
        </w:rPr>
      </w:pPr>
    </w:p>
    <w:p w14:paraId="6F583396" w14:textId="77777777" w:rsidR="0086368C" w:rsidRDefault="005F7F9F" w:rsidP="0086368C">
      <w:pPr>
        <w:pStyle w:val="Paragraph"/>
        <w:numPr>
          <w:ilvl w:val="0"/>
          <w:numId w:val="0"/>
        </w:numPr>
        <w:spacing w:before="0" w:after="0" w:line="276" w:lineRule="auto"/>
        <w:ind w:left="360"/>
        <w:jc w:val="center"/>
        <w:rPr>
          <w:rFonts w:ascii="Arial" w:hAnsi="Arial" w:cs="Arial"/>
          <w:b/>
          <w:bCs/>
          <w:sz w:val="20"/>
          <w:szCs w:val="20"/>
        </w:rPr>
      </w:pPr>
      <w:r w:rsidRPr="00F26752">
        <w:rPr>
          <w:rFonts w:ascii="Arial" w:hAnsi="Arial" w:cs="Arial"/>
          <w:b/>
          <w:sz w:val="20"/>
          <w:szCs w:val="20"/>
        </w:rPr>
        <w:t xml:space="preserve">Table 4.1: </w:t>
      </w:r>
      <w:r w:rsidRPr="00F26752">
        <w:rPr>
          <w:rFonts w:ascii="Arial" w:hAnsi="Arial" w:cs="Arial"/>
          <w:b/>
          <w:bCs/>
          <w:sz w:val="20"/>
          <w:szCs w:val="20"/>
        </w:rPr>
        <w:t>Summary of Sensitivity Analysis</w:t>
      </w:r>
    </w:p>
    <w:tbl>
      <w:tblPr>
        <w:tblW w:w="8541" w:type="dxa"/>
        <w:tblInd w:w="93" w:type="dxa"/>
        <w:tblLook w:val="04A0" w:firstRow="1" w:lastRow="0" w:firstColumn="1" w:lastColumn="0" w:noHBand="0" w:noVBand="1"/>
      </w:tblPr>
      <w:tblGrid>
        <w:gridCol w:w="848"/>
        <w:gridCol w:w="804"/>
        <w:gridCol w:w="800"/>
        <w:gridCol w:w="807"/>
        <w:gridCol w:w="803"/>
        <w:gridCol w:w="830"/>
        <w:gridCol w:w="800"/>
        <w:gridCol w:w="1199"/>
        <w:gridCol w:w="805"/>
        <w:gridCol w:w="903"/>
      </w:tblGrid>
      <w:tr w:rsidR="001B1FE2" w:rsidRPr="000C091A" w14:paraId="5CE976C8" w14:textId="77777777" w:rsidTr="007A46A8">
        <w:trPr>
          <w:trHeight w:val="473"/>
        </w:trPr>
        <w:tc>
          <w:tcPr>
            <w:tcW w:w="802" w:type="dxa"/>
            <w:tcBorders>
              <w:top w:val="single" w:sz="4" w:space="0" w:color="auto"/>
              <w:left w:val="single" w:sz="4" w:space="0" w:color="auto"/>
              <w:bottom w:val="double" w:sz="6" w:space="0" w:color="auto"/>
              <w:right w:val="single" w:sz="4" w:space="0" w:color="auto"/>
            </w:tcBorders>
            <w:shd w:val="clear" w:color="000000" w:fill="17365D" w:themeFill="text2" w:themeFillShade="BF"/>
            <w:vAlign w:val="center"/>
            <w:hideMark/>
          </w:tcPr>
          <w:p w14:paraId="5D8FACEE" w14:textId="00880C50"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FFFFFF" w:themeColor="background1"/>
                <w:sz w:val="16"/>
                <w:szCs w:val="16"/>
              </w:rPr>
              <w:t>Scenario</w:t>
            </w:r>
          </w:p>
        </w:tc>
        <w:tc>
          <w:tcPr>
            <w:tcW w:w="804" w:type="dxa"/>
            <w:tcBorders>
              <w:top w:val="single" w:sz="4" w:space="0" w:color="auto"/>
              <w:left w:val="nil"/>
              <w:bottom w:val="double" w:sz="6" w:space="0" w:color="auto"/>
              <w:right w:val="nil"/>
            </w:tcBorders>
            <w:shd w:val="clear" w:color="000000" w:fill="17365D" w:themeFill="text2" w:themeFillShade="BF"/>
            <w:vAlign w:val="center"/>
            <w:hideMark/>
          </w:tcPr>
          <w:p w14:paraId="6BEA1F3E" w14:textId="7D82F391"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O. Costs</w:t>
            </w:r>
          </w:p>
        </w:tc>
        <w:tc>
          <w:tcPr>
            <w:tcW w:w="800" w:type="dxa"/>
            <w:tcBorders>
              <w:top w:val="single" w:sz="4" w:space="0" w:color="auto"/>
              <w:left w:val="nil"/>
              <w:bottom w:val="double" w:sz="6" w:space="0" w:color="auto"/>
              <w:right w:val="nil"/>
            </w:tcBorders>
            <w:shd w:val="clear" w:color="000000" w:fill="17365D" w:themeFill="text2" w:themeFillShade="BF"/>
            <w:vAlign w:val="center"/>
            <w:hideMark/>
          </w:tcPr>
          <w:p w14:paraId="0FBD863C" w14:textId="2294BE06"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Solar</w:t>
            </w:r>
          </w:p>
        </w:tc>
        <w:tc>
          <w:tcPr>
            <w:tcW w:w="807" w:type="dxa"/>
            <w:tcBorders>
              <w:top w:val="single" w:sz="4" w:space="0" w:color="auto"/>
              <w:left w:val="nil"/>
              <w:bottom w:val="double" w:sz="6" w:space="0" w:color="auto"/>
              <w:right w:val="nil"/>
            </w:tcBorders>
            <w:shd w:val="clear" w:color="000000" w:fill="17365D" w:themeFill="text2" w:themeFillShade="BF"/>
            <w:vAlign w:val="center"/>
            <w:hideMark/>
          </w:tcPr>
          <w:p w14:paraId="74D3773F" w14:textId="310071FC"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Hybrid</w:t>
            </w:r>
          </w:p>
        </w:tc>
        <w:tc>
          <w:tcPr>
            <w:tcW w:w="803" w:type="dxa"/>
            <w:tcBorders>
              <w:top w:val="single" w:sz="4" w:space="0" w:color="auto"/>
              <w:left w:val="nil"/>
              <w:bottom w:val="double" w:sz="6" w:space="0" w:color="auto"/>
              <w:right w:val="nil"/>
            </w:tcBorders>
            <w:shd w:val="clear" w:color="000000" w:fill="17365D" w:themeFill="text2" w:themeFillShade="BF"/>
            <w:vAlign w:val="center"/>
            <w:hideMark/>
          </w:tcPr>
          <w:p w14:paraId="6F92A8B7" w14:textId="17D534B4"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SHP</w:t>
            </w:r>
          </w:p>
        </w:tc>
        <w:tc>
          <w:tcPr>
            <w:tcW w:w="818" w:type="dxa"/>
            <w:tcBorders>
              <w:top w:val="single" w:sz="4" w:space="0" w:color="auto"/>
              <w:left w:val="nil"/>
              <w:bottom w:val="double" w:sz="6" w:space="0" w:color="auto"/>
              <w:right w:val="nil"/>
            </w:tcBorders>
            <w:shd w:val="clear" w:color="000000" w:fill="17365D" w:themeFill="text2" w:themeFillShade="BF"/>
            <w:vAlign w:val="center"/>
            <w:hideMark/>
          </w:tcPr>
          <w:p w14:paraId="685F65D8" w14:textId="4A4A73E2"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Biomass</w:t>
            </w:r>
          </w:p>
        </w:tc>
        <w:tc>
          <w:tcPr>
            <w:tcW w:w="800" w:type="dxa"/>
            <w:tcBorders>
              <w:top w:val="single" w:sz="4" w:space="0" w:color="auto"/>
              <w:left w:val="nil"/>
              <w:bottom w:val="double" w:sz="6" w:space="0" w:color="auto"/>
              <w:right w:val="nil"/>
            </w:tcBorders>
            <w:shd w:val="clear" w:color="000000" w:fill="17365D" w:themeFill="text2" w:themeFillShade="BF"/>
            <w:vAlign w:val="center"/>
            <w:hideMark/>
          </w:tcPr>
          <w:p w14:paraId="2ED308EE" w14:textId="493AE87E"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CO</w:t>
            </w:r>
            <w:r w:rsidRPr="007A46A8">
              <w:rPr>
                <w:rFonts w:ascii="Arial" w:eastAsia="Times New Roman" w:hAnsi="Arial" w:cs="Arial"/>
                <w:color w:val="FFFFFF" w:themeColor="background1"/>
                <w:sz w:val="16"/>
                <w:szCs w:val="16"/>
                <w:vertAlign w:val="subscript"/>
              </w:rPr>
              <w:t>2</w:t>
            </w:r>
            <w:r w:rsidRPr="007A46A8">
              <w:rPr>
                <w:rFonts w:ascii="Arial" w:eastAsia="Times New Roman" w:hAnsi="Arial" w:cs="Arial"/>
                <w:color w:val="FFFFFF" w:themeColor="background1"/>
                <w:sz w:val="16"/>
                <w:szCs w:val="16"/>
              </w:rPr>
              <w:t xml:space="preserve"> Price</w:t>
            </w:r>
          </w:p>
        </w:tc>
        <w:tc>
          <w:tcPr>
            <w:tcW w:w="1199" w:type="dxa"/>
            <w:tcBorders>
              <w:top w:val="single" w:sz="4" w:space="0" w:color="auto"/>
              <w:left w:val="nil"/>
              <w:bottom w:val="double" w:sz="6" w:space="0" w:color="auto"/>
              <w:right w:val="nil"/>
            </w:tcBorders>
            <w:shd w:val="clear" w:color="000000" w:fill="17365D" w:themeFill="text2" w:themeFillShade="BF"/>
            <w:vAlign w:val="center"/>
            <w:hideMark/>
          </w:tcPr>
          <w:p w14:paraId="710A56CB" w14:textId="05B5F9D0"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Symbol" w:eastAsia="Times New Roman" w:hAnsi="Symbol" w:cs="Arial"/>
                <w:color w:val="FFFFFF" w:themeColor="background1"/>
                <w:sz w:val="16"/>
                <w:szCs w:val="16"/>
              </w:rPr>
              <w:t></w:t>
            </w:r>
            <w:r w:rsidRPr="007A46A8">
              <w:rPr>
                <w:rFonts w:ascii="Symbol" w:eastAsia="Times New Roman" w:hAnsi="Symbol" w:cs="Arial"/>
                <w:color w:val="FFFFFF" w:themeColor="background1"/>
                <w:sz w:val="16"/>
                <w:szCs w:val="16"/>
              </w:rPr>
              <w:t></w:t>
            </w:r>
            <w:r w:rsidRPr="007A46A8">
              <w:rPr>
                <w:rFonts w:ascii="Arial" w:eastAsia="Times New Roman" w:hAnsi="Arial" w:cs="Arial"/>
                <w:color w:val="FFFFFF" w:themeColor="background1"/>
                <w:sz w:val="16"/>
                <w:szCs w:val="16"/>
              </w:rPr>
              <w:br/>
              <w:t>RE Inv. Costs</w:t>
            </w:r>
          </w:p>
        </w:tc>
        <w:tc>
          <w:tcPr>
            <w:tcW w:w="805" w:type="dxa"/>
            <w:tcBorders>
              <w:top w:val="single" w:sz="4" w:space="0" w:color="auto"/>
              <w:left w:val="nil"/>
              <w:bottom w:val="double" w:sz="6" w:space="0" w:color="auto"/>
              <w:right w:val="nil"/>
            </w:tcBorders>
            <w:shd w:val="clear" w:color="000000" w:fill="17365D" w:themeFill="text2" w:themeFillShade="BF"/>
            <w:vAlign w:val="center"/>
            <w:hideMark/>
          </w:tcPr>
          <w:p w14:paraId="34B09CC3" w14:textId="6B22B05E"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FFFFFF" w:themeColor="background1"/>
                <w:sz w:val="16"/>
                <w:szCs w:val="16"/>
              </w:rPr>
              <w:t>NPV</w:t>
            </w:r>
            <w:r w:rsidRPr="007A46A8">
              <w:rPr>
                <w:rFonts w:ascii="Arial" w:eastAsia="Times New Roman" w:hAnsi="Arial" w:cs="Arial"/>
                <w:color w:val="FFFFFF" w:themeColor="background1"/>
                <w:sz w:val="16"/>
                <w:szCs w:val="16"/>
              </w:rPr>
              <w:br/>
              <w:t>Private</w:t>
            </w:r>
          </w:p>
        </w:tc>
        <w:tc>
          <w:tcPr>
            <w:tcW w:w="903" w:type="dxa"/>
            <w:tcBorders>
              <w:top w:val="single" w:sz="4" w:space="0" w:color="auto"/>
              <w:left w:val="nil"/>
              <w:bottom w:val="double" w:sz="6" w:space="0" w:color="auto"/>
              <w:right w:val="single" w:sz="4" w:space="0" w:color="auto"/>
            </w:tcBorders>
            <w:shd w:val="clear" w:color="000000" w:fill="17365D" w:themeFill="text2" w:themeFillShade="BF"/>
            <w:vAlign w:val="center"/>
            <w:hideMark/>
          </w:tcPr>
          <w:p w14:paraId="767AB7C8" w14:textId="021F8AEE" w:rsidR="001B1FE2" w:rsidRPr="007A46A8" w:rsidRDefault="001B1FE2" w:rsidP="001B1FE2">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FFFFFF" w:themeColor="background1"/>
                <w:sz w:val="16"/>
                <w:szCs w:val="16"/>
              </w:rPr>
              <w:t>NPV</w:t>
            </w:r>
            <w:r w:rsidRPr="007A46A8">
              <w:rPr>
                <w:rFonts w:ascii="Arial" w:eastAsia="Times New Roman" w:hAnsi="Arial" w:cs="Arial"/>
                <w:color w:val="FFFFFF" w:themeColor="background1"/>
                <w:sz w:val="16"/>
                <w:szCs w:val="16"/>
              </w:rPr>
              <w:br/>
              <w:t>Program</w:t>
            </w:r>
          </w:p>
        </w:tc>
      </w:tr>
      <w:tr w:rsidR="001B1FE2" w:rsidRPr="000C091A" w14:paraId="555463CC" w14:textId="77777777" w:rsidTr="007A46A8">
        <w:trPr>
          <w:trHeight w:val="243"/>
        </w:trPr>
        <w:tc>
          <w:tcPr>
            <w:tcW w:w="802" w:type="dxa"/>
            <w:tcBorders>
              <w:top w:val="nil"/>
              <w:left w:val="single" w:sz="4" w:space="0" w:color="auto"/>
              <w:bottom w:val="nil"/>
              <w:right w:val="single" w:sz="4" w:space="0" w:color="auto"/>
            </w:tcBorders>
            <w:shd w:val="clear" w:color="000000" w:fill="FFFFFF"/>
            <w:noWrap/>
            <w:vAlign w:val="bottom"/>
            <w:hideMark/>
          </w:tcPr>
          <w:p w14:paraId="037EAB8E" w14:textId="0F30B6DC" w:rsidR="001B1FE2" w:rsidRPr="007A46A8" w:rsidRDefault="001B1FE2" w:rsidP="000C091A">
            <w:pPr>
              <w:spacing w:after="0" w:line="240" w:lineRule="auto"/>
              <w:jc w:val="center"/>
              <w:rPr>
                <w:rFonts w:ascii="Arial" w:eastAsia="Times New Roman" w:hAnsi="Arial" w:cs="Arial"/>
                <w:b/>
                <w:color w:val="000000"/>
                <w:sz w:val="16"/>
                <w:szCs w:val="16"/>
              </w:rPr>
            </w:pPr>
            <w:r w:rsidRPr="007A46A8">
              <w:rPr>
                <w:rFonts w:ascii="Arial" w:eastAsia="Times New Roman" w:hAnsi="Arial" w:cs="Arial"/>
                <w:b/>
                <w:color w:val="000000"/>
                <w:sz w:val="16"/>
                <w:szCs w:val="16"/>
              </w:rPr>
              <w:t>Base</w:t>
            </w:r>
          </w:p>
        </w:tc>
        <w:tc>
          <w:tcPr>
            <w:tcW w:w="804" w:type="dxa"/>
            <w:tcBorders>
              <w:top w:val="nil"/>
              <w:left w:val="nil"/>
              <w:bottom w:val="single" w:sz="4" w:space="0" w:color="auto"/>
              <w:right w:val="nil"/>
            </w:tcBorders>
            <w:shd w:val="clear" w:color="000000" w:fill="FFFFFF"/>
            <w:noWrap/>
            <w:vAlign w:val="bottom"/>
            <w:hideMark/>
          </w:tcPr>
          <w:p w14:paraId="2D88125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583496C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nil"/>
              <w:right w:val="nil"/>
            </w:tcBorders>
            <w:shd w:val="clear" w:color="000000" w:fill="FFFFFF"/>
            <w:noWrap/>
            <w:vAlign w:val="bottom"/>
            <w:hideMark/>
          </w:tcPr>
          <w:p w14:paraId="748A38B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nil"/>
              <w:right w:val="nil"/>
            </w:tcBorders>
            <w:shd w:val="clear" w:color="000000" w:fill="FFFFFF"/>
            <w:noWrap/>
            <w:vAlign w:val="bottom"/>
            <w:hideMark/>
          </w:tcPr>
          <w:p w14:paraId="75ADF90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nil"/>
              <w:right w:val="nil"/>
            </w:tcBorders>
            <w:shd w:val="clear" w:color="000000" w:fill="FFFFFF"/>
            <w:noWrap/>
            <w:vAlign w:val="bottom"/>
            <w:hideMark/>
          </w:tcPr>
          <w:p w14:paraId="2E375ED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single" w:sz="4" w:space="0" w:color="auto"/>
              <w:right w:val="nil"/>
            </w:tcBorders>
            <w:shd w:val="clear" w:color="000000" w:fill="FFFFFF"/>
            <w:noWrap/>
            <w:vAlign w:val="bottom"/>
            <w:hideMark/>
          </w:tcPr>
          <w:p w14:paraId="1D3DCA6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668A8DA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6C6967BB" w14:textId="3DB69671"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27.98</w:t>
            </w:r>
          </w:p>
        </w:tc>
        <w:tc>
          <w:tcPr>
            <w:tcW w:w="903" w:type="dxa"/>
            <w:tcBorders>
              <w:top w:val="nil"/>
              <w:left w:val="nil"/>
              <w:bottom w:val="nil"/>
              <w:right w:val="single" w:sz="4" w:space="0" w:color="auto"/>
            </w:tcBorders>
            <w:shd w:val="clear" w:color="000000" w:fill="FFFFFF"/>
            <w:noWrap/>
            <w:vAlign w:val="bottom"/>
            <w:hideMark/>
          </w:tcPr>
          <w:p w14:paraId="22BD5AE2" w14:textId="24DAC104"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33.27</w:t>
            </w:r>
          </w:p>
        </w:tc>
      </w:tr>
      <w:tr w:rsidR="001B1FE2" w:rsidRPr="000C091A" w14:paraId="3B07CD6E" w14:textId="77777777" w:rsidTr="007A46A8">
        <w:trPr>
          <w:trHeight w:val="230"/>
        </w:trPr>
        <w:tc>
          <w:tcPr>
            <w:tcW w:w="802" w:type="dxa"/>
            <w:tcBorders>
              <w:top w:val="single" w:sz="4" w:space="0" w:color="auto"/>
              <w:left w:val="single" w:sz="4" w:space="0" w:color="auto"/>
              <w:bottom w:val="nil"/>
              <w:right w:val="single" w:sz="4" w:space="0" w:color="auto"/>
            </w:tcBorders>
            <w:shd w:val="clear" w:color="000000" w:fill="FFFFFF"/>
            <w:noWrap/>
            <w:vAlign w:val="bottom"/>
            <w:hideMark/>
          </w:tcPr>
          <w:p w14:paraId="21855ED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w:t>
            </w:r>
          </w:p>
        </w:tc>
        <w:tc>
          <w:tcPr>
            <w:tcW w:w="804" w:type="dxa"/>
            <w:tcBorders>
              <w:top w:val="single" w:sz="4" w:space="0" w:color="auto"/>
              <w:left w:val="nil"/>
              <w:bottom w:val="nil"/>
              <w:right w:val="nil"/>
            </w:tcBorders>
            <w:shd w:val="clear" w:color="000000" w:fill="C6D9F1" w:themeFill="text2" w:themeFillTint="33"/>
            <w:noWrap/>
            <w:vAlign w:val="bottom"/>
            <w:hideMark/>
          </w:tcPr>
          <w:p w14:paraId="1493BD1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0" w:type="dxa"/>
            <w:tcBorders>
              <w:top w:val="single" w:sz="4" w:space="0" w:color="auto"/>
              <w:left w:val="nil"/>
              <w:bottom w:val="nil"/>
              <w:right w:val="nil"/>
            </w:tcBorders>
            <w:shd w:val="clear" w:color="000000" w:fill="FFFFFF"/>
            <w:noWrap/>
            <w:vAlign w:val="bottom"/>
            <w:hideMark/>
          </w:tcPr>
          <w:p w14:paraId="02C8E4A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single" w:sz="4" w:space="0" w:color="auto"/>
              <w:left w:val="nil"/>
              <w:bottom w:val="nil"/>
              <w:right w:val="nil"/>
            </w:tcBorders>
            <w:shd w:val="clear" w:color="000000" w:fill="FFFFFF"/>
            <w:noWrap/>
            <w:vAlign w:val="bottom"/>
            <w:hideMark/>
          </w:tcPr>
          <w:p w14:paraId="6FF9C73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single" w:sz="4" w:space="0" w:color="auto"/>
              <w:left w:val="nil"/>
              <w:bottom w:val="nil"/>
              <w:right w:val="nil"/>
            </w:tcBorders>
            <w:shd w:val="clear" w:color="000000" w:fill="FFFFFF"/>
            <w:noWrap/>
            <w:vAlign w:val="bottom"/>
            <w:hideMark/>
          </w:tcPr>
          <w:p w14:paraId="5C5B96C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single" w:sz="4" w:space="0" w:color="auto"/>
              <w:left w:val="nil"/>
              <w:bottom w:val="nil"/>
              <w:right w:val="nil"/>
            </w:tcBorders>
            <w:shd w:val="clear" w:color="000000" w:fill="FFFFFF"/>
            <w:noWrap/>
            <w:vAlign w:val="bottom"/>
            <w:hideMark/>
          </w:tcPr>
          <w:p w14:paraId="40B4BB0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nil"/>
              <w:right w:val="nil"/>
            </w:tcBorders>
            <w:shd w:val="clear" w:color="000000" w:fill="FFFFFF"/>
            <w:noWrap/>
            <w:vAlign w:val="bottom"/>
            <w:hideMark/>
          </w:tcPr>
          <w:p w14:paraId="707871E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57B6B41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single" w:sz="4" w:space="0" w:color="auto"/>
              <w:left w:val="single" w:sz="4" w:space="0" w:color="auto"/>
              <w:bottom w:val="nil"/>
              <w:right w:val="nil"/>
            </w:tcBorders>
            <w:shd w:val="clear" w:color="000000" w:fill="FFFFFF"/>
            <w:noWrap/>
            <w:vAlign w:val="bottom"/>
          </w:tcPr>
          <w:p w14:paraId="1728867E" w14:textId="20B63FA0"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24.94</w:t>
            </w:r>
          </w:p>
        </w:tc>
        <w:tc>
          <w:tcPr>
            <w:tcW w:w="903" w:type="dxa"/>
            <w:tcBorders>
              <w:top w:val="single" w:sz="4" w:space="0" w:color="auto"/>
              <w:left w:val="nil"/>
              <w:bottom w:val="nil"/>
              <w:right w:val="single" w:sz="4" w:space="0" w:color="auto"/>
            </w:tcBorders>
            <w:shd w:val="clear" w:color="000000" w:fill="FFFFFF"/>
            <w:noWrap/>
            <w:vAlign w:val="bottom"/>
            <w:hideMark/>
          </w:tcPr>
          <w:p w14:paraId="08BC4DF8" w14:textId="58F5D0D6"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31.54</w:t>
            </w:r>
          </w:p>
        </w:tc>
      </w:tr>
      <w:tr w:rsidR="001B1FE2" w:rsidRPr="000C091A" w14:paraId="3E7FC40B"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3560C07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w:t>
            </w:r>
          </w:p>
        </w:tc>
        <w:tc>
          <w:tcPr>
            <w:tcW w:w="804" w:type="dxa"/>
            <w:tcBorders>
              <w:top w:val="nil"/>
              <w:left w:val="nil"/>
              <w:bottom w:val="single" w:sz="4" w:space="0" w:color="auto"/>
              <w:right w:val="nil"/>
            </w:tcBorders>
            <w:shd w:val="clear" w:color="000000" w:fill="C6D9F1" w:themeFill="text2" w:themeFillTint="33"/>
            <w:noWrap/>
            <w:vAlign w:val="bottom"/>
            <w:hideMark/>
          </w:tcPr>
          <w:p w14:paraId="5BC558D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0" w:type="dxa"/>
            <w:tcBorders>
              <w:top w:val="nil"/>
              <w:left w:val="nil"/>
              <w:bottom w:val="single" w:sz="4" w:space="0" w:color="auto"/>
              <w:right w:val="nil"/>
            </w:tcBorders>
            <w:shd w:val="clear" w:color="000000" w:fill="FFFFFF"/>
            <w:noWrap/>
            <w:vAlign w:val="bottom"/>
            <w:hideMark/>
          </w:tcPr>
          <w:p w14:paraId="3CEE43B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single" w:sz="4" w:space="0" w:color="auto"/>
              <w:right w:val="nil"/>
            </w:tcBorders>
            <w:shd w:val="clear" w:color="000000" w:fill="FFFFFF"/>
            <w:noWrap/>
            <w:vAlign w:val="bottom"/>
            <w:hideMark/>
          </w:tcPr>
          <w:p w14:paraId="1BA896E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single" w:sz="4" w:space="0" w:color="auto"/>
              <w:right w:val="nil"/>
            </w:tcBorders>
            <w:shd w:val="clear" w:color="000000" w:fill="FFFFFF"/>
            <w:noWrap/>
            <w:vAlign w:val="bottom"/>
            <w:hideMark/>
          </w:tcPr>
          <w:p w14:paraId="2DB0EF9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single" w:sz="4" w:space="0" w:color="auto"/>
              <w:right w:val="nil"/>
            </w:tcBorders>
            <w:shd w:val="clear" w:color="000000" w:fill="FFFFFF"/>
            <w:noWrap/>
            <w:vAlign w:val="bottom"/>
            <w:hideMark/>
          </w:tcPr>
          <w:p w14:paraId="77E409A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single" w:sz="4" w:space="0" w:color="auto"/>
              <w:right w:val="nil"/>
            </w:tcBorders>
            <w:shd w:val="clear" w:color="000000" w:fill="FFFFFF"/>
            <w:noWrap/>
            <w:vAlign w:val="bottom"/>
            <w:hideMark/>
          </w:tcPr>
          <w:p w14:paraId="02536CC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558062E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395F57F8" w14:textId="0AB3970C"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22.29</w:t>
            </w:r>
          </w:p>
        </w:tc>
        <w:tc>
          <w:tcPr>
            <w:tcW w:w="903" w:type="dxa"/>
            <w:tcBorders>
              <w:top w:val="nil"/>
              <w:left w:val="nil"/>
              <w:bottom w:val="single" w:sz="4" w:space="0" w:color="auto"/>
              <w:right w:val="single" w:sz="4" w:space="0" w:color="auto"/>
            </w:tcBorders>
            <w:shd w:val="clear" w:color="000000" w:fill="FFFFFF"/>
            <w:noWrap/>
            <w:vAlign w:val="bottom"/>
            <w:hideMark/>
          </w:tcPr>
          <w:p w14:paraId="19BE8EFA" w14:textId="2B81B6CC"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27.69</w:t>
            </w:r>
          </w:p>
        </w:tc>
      </w:tr>
      <w:tr w:rsidR="001B1FE2" w:rsidRPr="000C091A" w14:paraId="2750E446"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4690AED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w:t>
            </w:r>
          </w:p>
        </w:tc>
        <w:tc>
          <w:tcPr>
            <w:tcW w:w="804" w:type="dxa"/>
            <w:tcBorders>
              <w:top w:val="nil"/>
              <w:left w:val="nil"/>
              <w:bottom w:val="nil"/>
              <w:right w:val="single" w:sz="4" w:space="0" w:color="auto"/>
            </w:tcBorders>
            <w:shd w:val="clear" w:color="000000" w:fill="FFFFFF"/>
            <w:noWrap/>
            <w:vAlign w:val="bottom"/>
            <w:hideMark/>
          </w:tcPr>
          <w:p w14:paraId="378F531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single" w:sz="4" w:space="0" w:color="auto"/>
              <w:left w:val="single" w:sz="4" w:space="0" w:color="auto"/>
              <w:bottom w:val="nil"/>
              <w:right w:val="nil"/>
            </w:tcBorders>
            <w:shd w:val="clear" w:color="000000" w:fill="C6D9F1" w:themeFill="text2" w:themeFillTint="33"/>
            <w:noWrap/>
            <w:vAlign w:val="bottom"/>
            <w:hideMark/>
          </w:tcPr>
          <w:p w14:paraId="1073073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0.45</w:t>
            </w:r>
          </w:p>
        </w:tc>
        <w:tc>
          <w:tcPr>
            <w:tcW w:w="807" w:type="dxa"/>
            <w:tcBorders>
              <w:top w:val="nil"/>
              <w:left w:val="nil"/>
              <w:bottom w:val="nil"/>
              <w:right w:val="nil"/>
            </w:tcBorders>
            <w:shd w:val="clear" w:color="000000" w:fill="FFFFFF"/>
            <w:noWrap/>
            <w:vAlign w:val="bottom"/>
            <w:hideMark/>
          </w:tcPr>
          <w:p w14:paraId="27E8F13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3" w:type="dxa"/>
            <w:tcBorders>
              <w:top w:val="nil"/>
              <w:left w:val="nil"/>
              <w:bottom w:val="nil"/>
              <w:right w:val="nil"/>
            </w:tcBorders>
            <w:shd w:val="clear" w:color="000000" w:fill="FFFFFF"/>
            <w:noWrap/>
            <w:vAlign w:val="bottom"/>
            <w:hideMark/>
          </w:tcPr>
          <w:p w14:paraId="2E79DCB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18" w:type="dxa"/>
            <w:tcBorders>
              <w:top w:val="nil"/>
              <w:left w:val="nil"/>
              <w:bottom w:val="nil"/>
              <w:right w:val="nil"/>
            </w:tcBorders>
            <w:shd w:val="clear" w:color="000000" w:fill="FFFFFF"/>
            <w:noWrap/>
            <w:vAlign w:val="bottom"/>
            <w:hideMark/>
          </w:tcPr>
          <w:p w14:paraId="1414176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0" w:type="dxa"/>
            <w:tcBorders>
              <w:top w:val="nil"/>
              <w:left w:val="nil"/>
              <w:bottom w:val="nil"/>
              <w:right w:val="nil"/>
            </w:tcBorders>
            <w:shd w:val="clear" w:color="000000" w:fill="FFFFFF"/>
            <w:noWrap/>
            <w:vAlign w:val="bottom"/>
            <w:hideMark/>
          </w:tcPr>
          <w:p w14:paraId="61D22DC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5733B61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75DE498E" w14:textId="26B66A7F"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29.94</w:t>
            </w:r>
          </w:p>
        </w:tc>
        <w:tc>
          <w:tcPr>
            <w:tcW w:w="903" w:type="dxa"/>
            <w:tcBorders>
              <w:top w:val="nil"/>
              <w:left w:val="nil"/>
              <w:bottom w:val="nil"/>
              <w:right w:val="single" w:sz="4" w:space="0" w:color="auto"/>
            </w:tcBorders>
            <w:shd w:val="clear" w:color="000000" w:fill="FFFFFF"/>
            <w:noWrap/>
            <w:vAlign w:val="bottom"/>
            <w:hideMark/>
          </w:tcPr>
          <w:p w14:paraId="6BB8B050" w14:textId="2270BC8E"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35.34</w:t>
            </w:r>
          </w:p>
        </w:tc>
      </w:tr>
      <w:tr w:rsidR="001B1FE2" w:rsidRPr="000C091A" w14:paraId="5194251D"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65522AF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4</w:t>
            </w:r>
          </w:p>
        </w:tc>
        <w:tc>
          <w:tcPr>
            <w:tcW w:w="804" w:type="dxa"/>
            <w:tcBorders>
              <w:top w:val="nil"/>
              <w:left w:val="nil"/>
              <w:bottom w:val="single" w:sz="4" w:space="0" w:color="auto"/>
              <w:right w:val="single" w:sz="4" w:space="0" w:color="auto"/>
            </w:tcBorders>
            <w:shd w:val="clear" w:color="000000" w:fill="FFFFFF"/>
            <w:noWrap/>
            <w:vAlign w:val="bottom"/>
            <w:hideMark/>
          </w:tcPr>
          <w:p w14:paraId="1C47484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single" w:sz="4" w:space="0" w:color="auto"/>
              <w:bottom w:val="single" w:sz="4" w:space="0" w:color="auto"/>
              <w:right w:val="nil"/>
            </w:tcBorders>
            <w:shd w:val="clear" w:color="000000" w:fill="C6D9F1" w:themeFill="text2" w:themeFillTint="33"/>
            <w:noWrap/>
            <w:vAlign w:val="bottom"/>
            <w:hideMark/>
          </w:tcPr>
          <w:p w14:paraId="75ABCF7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0.60</w:t>
            </w:r>
          </w:p>
        </w:tc>
        <w:tc>
          <w:tcPr>
            <w:tcW w:w="807" w:type="dxa"/>
            <w:tcBorders>
              <w:top w:val="nil"/>
              <w:left w:val="nil"/>
              <w:bottom w:val="single" w:sz="4" w:space="0" w:color="auto"/>
              <w:right w:val="nil"/>
            </w:tcBorders>
            <w:shd w:val="clear" w:color="000000" w:fill="FFFFFF"/>
            <w:noWrap/>
            <w:vAlign w:val="bottom"/>
            <w:hideMark/>
          </w:tcPr>
          <w:p w14:paraId="5B43BB2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3" w:type="dxa"/>
            <w:tcBorders>
              <w:top w:val="nil"/>
              <w:left w:val="nil"/>
              <w:bottom w:val="single" w:sz="4" w:space="0" w:color="auto"/>
              <w:right w:val="nil"/>
            </w:tcBorders>
            <w:shd w:val="clear" w:color="000000" w:fill="FFFFFF"/>
            <w:noWrap/>
            <w:vAlign w:val="bottom"/>
            <w:hideMark/>
          </w:tcPr>
          <w:p w14:paraId="506F078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18" w:type="dxa"/>
            <w:tcBorders>
              <w:top w:val="nil"/>
              <w:left w:val="nil"/>
              <w:bottom w:val="single" w:sz="4" w:space="0" w:color="auto"/>
              <w:right w:val="nil"/>
            </w:tcBorders>
            <w:shd w:val="clear" w:color="000000" w:fill="FFFFFF"/>
            <w:noWrap/>
            <w:vAlign w:val="bottom"/>
            <w:hideMark/>
          </w:tcPr>
          <w:p w14:paraId="4E81A44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00" w:type="dxa"/>
            <w:tcBorders>
              <w:top w:val="nil"/>
              <w:left w:val="nil"/>
              <w:bottom w:val="single" w:sz="4" w:space="0" w:color="auto"/>
              <w:right w:val="nil"/>
            </w:tcBorders>
            <w:shd w:val="clear" w:color="000000" w:fill="FFFFFF"/>
            <w:noWrap/>
            <w:vAlign w:val="bottom"/>
            <w:hideMark/>
          </w:tcPr>
          <w:p w14:paraId="5E87515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0849516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7FC39BA0" w14:textId="3F205A63"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32.30</w:t>
            </w:r>
          </w:p>
        </w:tc>
        <w:tc>
          <w:tcPr>
            <w:tcW w:w="903" w:type="dxa"/>
            <w:tcBorders>
              <w:top w:val="nil"/>
              <w:left w:val="nil"/>
              <w:bottom w:val="single" w:sz="4" w:space="0" w:color="auto"/>
              <w:right w:val="single" w:sz="4" w:space="0" w:color="auto"/>
            </w:tcBorders>
            <w:shd w:val="clear" w:color="000000" w:fill="FFFFFF"/>
            <w:noWrap/>
            <w:vAlign w:val="bottom"/>
            <w:hideMark/>
          </w:tcPr>
          <w:p w14:paraId="0E363B78" w14:textId="0CE76C3E"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37.70</w:t>
            </w:r>
          </w:p>
        </w:tc>
      </w:tr>
      <w:tr w:rsidR="001B1FE2" w:rsidRPr="000C091A" w14:paraId="2F317DEF"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3B609E0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5</w:t>
            </w:r>
          </w:p>
        </w:tc>
        <w:tc>
          <w:tcPr>
            <w:tcW w:w="804" w:type="dxa"/>
            <w:tcBorders>
              <w:top w:val="nil"/>
              <w:left w:val="nil"/>
              <w:bottom w:val="nil"/>
              <w:right w:val="nil"/>
            </w:tcBorders>
            <w:shd w:val="clear" w:color="000000" w:fill="FFFFFF"/>
            <w:noWrap/>
            <w:vAlign w:val="bottom"/>
            <w:hideMark/>
          </w:tcPr>
          <w:p w14:paraId="049C54B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single" w:sz="4" w:space="0" w:color="auto"/>
            </w:tcBorders>
            <w:shd w:val="clear" w:color="000000" w:fill="FFFFFF"/>
            <w:noWrap/>
            <w:vAlign w:val="bottom"/>
            <w:hideMark/>
          </w:tcPr>
          <w:p w14:paraId="7C6B550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7" w:type="dxa"/>
            <w:tcBorders>
              <w:top w:val="single" w:sz="4" w:space="0" w:color="auto"/>
              <w:left w:val="single" w:sz="4" w:space="0" w:color="auto"/>
              <w:bottom w:val="nil"/>
              <w:right w:val="nil"/>
            </w:tcBorders>
            <w:shd w:val="clear" w:color="000000" w:fill="C6D9F1" w:themeFill="text2" w:themeFillTint="33"/>
            <w:noWrap/>
            <w:vAlign w:val="bottom"/>
            <w:hideMark/>
          </w:tcPr>
          <w:p w14:paraId="3CA92E1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0.45</w:t>
            </w:r>
          </w:p>
        </w:tc>
        <w:tc>
          <w:tcPr>
            <w:tcW w:w="803" w:type="dxa"/>
            <w:tcBorders>
              <w:top w:val="nil"/>
              <w:left w:val="nil"/>
              <w:bottom w:val="nil"/>
              <w:right w:val="nil"/>
            </w:tcBorders>
            <w:shd w:val="clear" w:color="000000" w:fill="FFFFFF"/>
            <w:noWrap/>
            <w:vAlign w:val="bottom"/>
            <w:hideMark/>
          </w:tcPr>
          <w:p w14:paraId="415994F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18" w:type="dxa"/>
            <w:tcBorders>
              <w:top w:val="nil"/>
              <w:left w:val="nil"/>
              <w:bottom w:val="nil"/>
              <w:right w:val="nil"/>
            </w:tcBorders>
            <w:shd w:val="clear" w:color="000000" w:fill="FFFFFF"/>
            <w:noWrap/>
            <w:vAlign w:val="bottom"/>
            <w:hideMark/>
          </w:tcPr>
          <w:p w14:paraId="24B4066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0" w:type="dxa"/>
            <w:tcBorders>
              <w:top w:val="nil"/>
              <w:left w:val="nil"/>
              <w:bottom w:val="nil"/>
              <w:right w:val="nil"/>
            </w:tcBorders>
            <w:shd w:val="clear" w:color="000000" w:fill="FFFFFF"/>
            <w:noWrap/>
            <w:vAlign w:val="bottom"/>
            <w:hideMark/>
          </w:tcPr>
          <w:p w14:paraId="29661B8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4D3B8EF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00E79F87" w14:textId="5738500B"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21.69</w:t>
            </w:r>
          </w:p>
        </w:tc>
        <w:tc>
          <w:tcPr>
            <w:tcW w:w="903" w:type="dxa"/>
            <w:tcBorders>
              <w:top w:val="nil"/>
              <w:left w:val="nil"/>
              <w:bottom w:val="nil"/>
              <w:right w:val="single" w:sz="4" w:space="0" w:color="auto"/>
            </w:tcBorders>
            <w:shd w:val="clear" w:color="000000" w:fill="FFFFFF"/>
            <w:noWrap/>
            <w:vAlign w:val="bottom"/>
            <w:hideMark/>
          </w:tcPr>
          <w:p w14:paraId="50DFA7B4" w14:textId="491F01CA"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27.09</w:t>
            </w:r>
          </w:p>
        </w:tc>
      </w:tr>
      <w:tr w:rsidR="001B1FE2" w:rsidRPr="000C091A" w14:paraId="0A2747B1"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18B8FB1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6</w:t>
            </w:r>
          </w:p>
        </w:tc>
        <w:tc>
          <w:tcPr>
            <w:tcW w:w="804" w:type="dxa"/>
            <w:tcBorders>
              <w:top w:val="nil"/>
              <w:left w:val="nil"/>
              <w:bottom w:val="single" w:sz="4" w:space="0" w:color="auto"/>
              <w:right w:val="nil"/>
            </w:tcBorders>
            <w:shd w:val="clear" w:color="000000" w:fill="FFFFFF"/>
            <w:noWrap/>
            <w:vAlign w:val="bottom"/>
            <w:hideMark/>
          </w:tcPr>
          <w:p w14:paraId="0B855CD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single" w:sz="4" w:space="0" w:color="auto"/>
            </w:tcBorders>
            <w:shd w:val="clear" w:color="000000" w:fill="FFFFFF"/>
            <w:noWrap/>
            <w:vAlign w:val="bottom"/>
            <w:hideMark/>
          </w:tcPr>
          <w:p w14:paraId="1647D33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7" w:type="dxa"/>
            <w:tcBorders>
              <w:top w:val="nil"/>
              <w:left w:val="single" w:sz="4" w:space="0" w:color="auto"/>
              <w:bottom w:val="single" w:sz="4" w:space="0" w:color="auto"/>
              <w:right w:val="nil"/>
            </w:tcBorders>
            <w:shd w:val="clear" w:color="000000" w:fill="C6D9F1" w:themeFill="text2" w:themeFillTint="33"/>
            <w:noWrap/>
            <w:vAlign w:val="bottom"/>
            <w:hideMark/>
          </w:tcPr>
          <w:p w14:paraId="5C7EAB6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0.60</w:t>
            </w:r>
          </w:p>
        </w:tc>
        <w:tc>
          <w:tcPr>
            <w:tcW w:w="803" w:type="dxa"/>
            <w:tcBorders>
              <w:top w:val="nil"/>
              <w:left w:val="nil"/>
              <w:bottom w:val="single" w:sz="4" w:space="0" w:color="auto"/>
              <w:right w:val="nil"/>
            </w:tcBorders>
            <w:shd w:val="clear" w:color="000000" w:fill="FFFFFF"/>
            <w:noWrap/>
            <w:vAlign w:val="bottom"/>
            <w:hideMark/>
          </w:tcPr>
          <w:p w14:paraId="0282D17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18" w:type="dxa"/>
            <w:tcBorders>
              <w:top w:val="nil"/>
              <w:left w:val="nil"/>
              <w:bottom w:val="single" w:sz="4" w:space="0" w:color="auto"/>
              <w:right w:val="nil"/>
            </w:tcBorders>
            <w:shd w:val="clear" w:color="000000" w:fill="FFFFFF"/>
            <w:noWrap/>
            <w:vAlign w:val="bottom"/>
            <w:hideMark/>
          </w:tcPr>
          <w:p w14:paraId="6FAA481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00" w:type="dxa"/>
            <w:tcBorders>
              <w:top w:val="nil"/>
              <w:left w:val="nil"/>
              <w:bottom w:val="single" w:sz="4" w:space="0" w:color="auto"/>
              <w:right w:val="nil"/>
            </w:tcBorders>
            <w:shd w:val="clear" w:color="000000" w:fill="FFFFFF"/>
            <w:noWrap/>
            <w:vAlign w:val="bottom"/>
            <w:hideMark/>
          </w:tcPr>
          <w:p w14:paraId="729BE12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611AC89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5B8D9D05" w14:textId="2663AC29"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15.79</w:t>
            </w:r>
          </w:p>
        </w:tc>
        <w:tc>
          <w:tcPr>
            <w:tcW w:w="903" w:type="dxa"/>
            <w:tcBorders>
              <w:top w:val="nil"/>
              <w:left w:val="nil"/>
              <w:bottom w:val="single" w:sz="4" w:space="0" w:color="auto"/>
              <w:right w:val="single" w:sz="4" w:space="0" w:color="auto"/>
            </w:tcBorders>
            <w:shd w:val="clear" w:color="000000" w:fill="FFFFFF"/>
            <w:noWrap/>
            <w:vAlign w:val="bottom"/>
            <w:hideMark/>
          </w:tcPr>
          <w:p w14:paraId="62CDBF0D" w14:textId="6B8872B9"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21.19</w:t>
            </w:r>
          </w:p>
        </w:tc>
      </w:tr>
      <w:tr w:rsidR="001B1FE2" w:rsidRPr="000C091A" w14:paraId="3427E290"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1FF60F5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7</w:t>
            </w:r>
          </w:p>
        </w:tc>
        <w:tc>
          <w:tcPr>
            <w:tcW w:w="804" w:type="dxa"/>
            <w:tcBorders>
              <w:top w:val="nil"/>
              <w:left w:val="nil"/>
              <w:bottom w:val="nil"/>
              <w:right w:val="nil"/>
            </w:tcBorders>
            <w:shd w:val="clear" w:color="000000" w:fill="FFFFFF"/>
            <w:noWrap/>
            <w:vAlign w:val="bottom"/>
            <w:hideMark/>
          </w:tcPr>
          <w:p w14:paraId="3DB765B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3FC68AB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7" w:type="dxa"/>
            <w:tcBorders>
              <w:top w:val="nil"/>
              <w:left w:val="nil"/>
              <w:bottom w:val="nil"/>
              <w:right w:val="single" w:sz="4" w:space="0" w:color="auto"/>
            </w:tcBorders>
            <w:shd w:val="clear" w:color="000000" w:fill="FFFFFF"/>
            <w:noWrap/>
            <w:vAlign w:val="bottom"/>
            <w:hideMark/>
          </w:tcPr>
          <w:p w14:paraId="3EC3F81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3" w:type="dxa"/>
            <w:tcBorders>
              <w:top w:val="single" w:sz="4" w:space="0" w:color="auto"/>
              <w:left w:val="single" w:sz="4" w:space="0" w:color="auto"/>
              <w:bottom w:val="nil"/>
              <w:right w:val="nil"/>
            </w:tcBorders>
            <w:shd w:val="clear" w:color="000000" w:fill="C6D9F1" w:themeFill="text2" w:themeFillTint="33"/>
            <w:noWrap/>
            <w:vAlign w:val="bottom"/>
            <w:hideMark/>
          </w:tcPr>
          <w:p w14:paraId="7F10E53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0.35</w:t>
            </w:r>
          </w:p>
        </w:tc>
        <w:tc>
          <w:tcPr>
            <w:tcW w:w="818" w:type="dxa"/>
            <w:tcBorders>
              <w:top w:val="nil"/>
              <w:left w:val="nil"/>
              <w:bottom w:val="nil"/>
              <w:right w:val="nil"/>
            </w:tcBorders>
            <w:shd w:val="clear" w:color="000000" w:fill="FFFFFF"/>
            <w:noWrap/>
            <w:vAlign w:val="bottom"/>
            <w:hideMark/>
          </w:tcPr>
          <w:p w14:paraId="46355F0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0" w:type="dxa"/>
            <w:tcBorders>
              <w:top w:val="nil"/>
              <w:left w:val="nil"/>
              <w:bottom w:val="nil"/>
              <w:right w:val="nil"/>
            </w:tcBorders>
            <w:shd w:val="clear" w:color="000000" w:fill="FFFFFF"/>
            <w:noWrap/>
            <w:vAlign w:val="bottom"/>
            <w:hideMark/>
          </w:tcPr>
          <w:p w14:paraId="088C058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7EBD18C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376BA8F6" w14:textId="58D0658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29.85</w:t>
            </w:r>
          </w:p>
        </w:tc>
        <w:tc>
          <w:tcPr>
            <w:tcW w:w="903" w:type="dxa"/>
            <w:tcBorders>
              <w:top w:val="nil"/>
              <w:left w:val="nil"/>
              <w:bottom w:val="nil"/>
              <w:right w:val="single" w:sz="4" w:space="0" w:color="auto"/>
            </w:tcBorders>
            <w:shd w:val="clear" w:color="000000" w:fill="FFFFFF"/>
            <w:noWrap/>
            <w:vAlign w:val="bottom"/>
            <w:hideMark/>
          </w:tcPr>
          <w:p w14:paraId="383DC128" w14:textId="3A422091"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35.25</w:t>
            </w:r>
          </w:p>
        </w:tc>
      </w:tr>
      <w:tr w:rsidR="001B1FE2" w:rsidRPr="000C091A" w14:paraId="69F1EC72"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792B8FA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8</w:t>
            </w:r>
          </w:p>
        </w:tc>
        <w:tc>
          <w:tcPr>
            <w:tcW w:w="804" w:type="dxa"/>
            <w:tcBorders>
              <w:top w:val="nil"/>
              <w:left w:val="nil"/>
              <w:bottom w:val="single" w:sz="4" w:space="0" w:color="auto"/>
              <w:right w:val="nil"/>
            </w:tcBorders>
            <w:shd w:val="clear" w:color="000000" w:fill="FFFFFF"/>
            <w:noWrap/>
            <w:vAlign w:val="bottom"/>
            <w:hideMark/>
          </w:tcPr>
          <w:p w14:paraId="173284E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nil"/>
            </w:tcBorders>
            <w:shd w:val="clear" w:color="000000" w:fill="FFFFFF"/>
            <w:noWrap/>
            <w:vAlign w:val="bottom"/>
            <w:hideMark/>
          </w:tcPr>
          <w:p w14:paraId="08219B9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7" w:type="dxa"/>
            <w:tcBorders>
              <w:top w:val="nil"/>
              <w:left w:val="nil"/>
              <w:bottom w:val="single" w:sz="4" w:space="0" w:color="auto"/>
              <w:right w:val="single" w:sz="4" w:space="0" w:color="auto"/>
            </w:tcBorders>
            <w:shd w:val="clear" w:color="000000" w:fill="FFFFFF"/>
            <w:noWrap/>
            <w:vAlign w:val="bottom"/>
            <w:hideMark/>
          </w:tcPr>
          <w:p w14:paraId="0C59B0A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3" w:type="dxa"/>
            <w:tcBorders>
              <w:top w:val="nil"/>
              <w:left w:val="single" w:sz="4" w:space="0" w:color="auto"/>
              <w:bottom w:val="single" w:sz="4" w:space="0" w:color="auto"/>
              <w:right w:val="nil"/>
            </w:tcBorders>
            <w:shd w:val="clear" w:color="000000" w:fill="C6D9F1" w:themeFill="text2" w:themeFillTint="33"/>
            <w:noWrap/>
            <w:vAlign w:val="bottom"/>
            <w:hideMark/>
          </w:tcPr>
          <w:p w14:paraId="67DA486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0.50</w:t>
            </w:r>
          </w:p>
        </w:tc>
        <w:tc>
          <w:tcPr>
            <w:tcW w:w="818" w:type="dxa"/>
            <w:tcBorders>
              <w:top w:val="nil"/>
              <w:left w:val="nil"/>
              <w:bottom w:val="single" w:sz="4" w:space="0" w:color="auto"/>
              <w:right w:val="nil"/>
            </w:tcBorders>
            <w:shd w:val="clear" w:color="000000" w:fill="FFFFFF"/>
            <w:noWrap/>
            <w:vAlign w:val="bottom"/>
            <w:hideMark/>
          </w:tcPr>
          <w:p w14:paraId="3C19C7C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00" w:type="dxa"/>
            <w:tcBorders>
              <w:top w:val="nil"/>
              <w:left w:val="nil"/>
              <w:bottom w:val="single" w:sz="4" w:space="0" w:color="auto"/>
              <w:right w:val="nil"/>
            </w:tcBorders>
            <w:shd w:val="clear" w:color="000000" w:fill="FFFFFF"/>
            <w:noWrap/>
            <w:vAlign w:val="bottom"/>
            <w:hideMark/>
          </w:tcPr>
          <w:p w14:paraId="4411138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5E25EDE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702510BB" w14:textId="4DD3D491"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32.13</w:t>
            </w:r>
          </w:p>
        </w:tc>
        <w:tc>
          <w:tcPr>
            <w:tcW w:w="903" w:type="dxa"/>
            <w:tcBorders>
              <w:top w:val="nil"/>
              <w:left w:val="nil"/>
              <w:bottom w:val="single" w:sz="4" w:space="0" w:color="auto"/>
              <w:right w:val="single" w:sz="4" w:space="0" w:color="auto"/>
            </w:tcBorders>
            <w:shd w:val="clear" w:color="000000" w:fill="FFFFFF"/>
            <w:noWrap/>
            <w:vAlign w:val="bottom"/>
            <w:hideMark/>
          </w:tcPr>
          <w:p w14:paraId="58FFD742" w14:textId="091F3306"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37.53</w:t>
            </w:r>
          </w:p>
        </w:tc>
      </w:tr>
      <w:tr w:rsidR="001B1FE2" w:rsidRPr="000C091A" w14:paraId="136CAEEB"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0108B9B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9</w:t>
            </w:r>
          </w:p>
        </w:tc>
        <w:tc>
          <w:tcPr>
            <w:tcW w:w="804" w:type="dxa"/>
            <w:tcBorders>
              <w:top w:val="nil"/>
              <w:left w:val="nil"/>
              <w:bottom w:val="nil"/>
              <w:right w:val="nil"/>
            </w:tcBorders>
            <w:shd w:val="clear" w:color="000000" w:fill="FFFFFF"/>
            <w:noWrap/>
            <w:vAlign w:val="bottom"/>
            <w:hideMark/>
          </w:tcPr>
          <w:p w14:paraId="46C97553"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39A6D4C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7" w:type="dxa"/>
            <w:tcBorders>
              <w:top w:val="nil"/>
              <w:left w:val="nil"/>
              <w:bottom w:val="nil"/>
              <w:right w:val="nil"/>
            </w:tcBorders>
            <w:shd w:val="clear" w:color="000000" w:fill="FFFFFF"/>
            <w:noWrap/>
            <w:vAlign w:val="bottom"/>
            <w:hideMark/>
          </w:tcPr>
          <w:p w14:paraId="503EDE7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0.25</w:t>
            </w:r>
          </w:p>
        </w:tc>
        <w:tc>
          <w:tcPr>
            <w:tcW w:w="803" w:type="dxa"/>
            <w:tcBorders>
              <w:top w:val="nil"/>
              <w:left w:val="nil"/>
              <w:bottom w:val="nil"/>
              <w:right w:val="single" w:sz="4" w:space="0" w:color="auto"/>
            </w:tcBorders>
            <w:shd w:val="clear" w:color="000000" w:fill="FFFFFF"/>
            <w:noWrap/>
            <w:vAlign w:val="bottom"/>
            <w:hideMark/>
          </w:tcPr>
          <w:p w14:paraId="16E9703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18" w:type="dxa"/>
            <w:tcBorders>
              <w:top w:val="single" w:sz="4" w:space="0" w:color="auto"/>
              <w:left w:val="single" w:sz="4" w:space="0" w:color="auto"/>
              <w:bottom w:val="nil"/>
              <w:right w:val="nil"/>
            </w:tcBorders>
            <w:shd w:val="clear" w:color="000000" w:fill="C6D9F1" w:themeFill="text2" w:themeFillTint="33"/>
            <w:noWrap/>
            <w:vAlign w:val="bottom"/>
            <w:hideMark/>
          </w:tcPr>
          <w:p w14:paraId="1481F66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0.35</w:t>
            </w:r>
          </w:p>
        </w:tc>
        <w:tc>
          <w:tcPr>
            <w:tcW w:w="800" w:type="dxa"/>
            <w:tcBorders>
              <w:top w:val="nil"/>
              <w:left w:val="nil"/>
              <w:bottom w:val="nil"/>
              <w:right w:val="nil"/>
            </w:tcBorders>
            <w:shd w:val="clear" w:color="000000" w:fill="FFFFFF"/>
            <w:noWrap/>
            <w:vAlign w:val="bottom"/>
            <w:hideMark/>
          </w:tcPr>
          <w:p w14:paraId="58D65E6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nil"/>
              <w:right w:val="nil"/>
            </w:tcBorders>
            <w:shd w:val="clear" w:color="000000" w:fill="FFFFFF"/>
            <w:noWrap/>
            <w:vAlign w:val="bottom"/>
            <w:hideMark/>
          </w:tcPr>
          <w:p w14:paraId="32F15E5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70BD8BF8" w14:textId="528EA76D"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28.84</w:t>
            </w:r>
          </w:p>
        </w:tc>
        <w:tc>
          <w:tcPr>
            <w:tcW w:w="903" w:type="dxa"/>
            <w:tcBorders>
              <w:top w:val="nil"/>
              <w:left w:val="nil"/>
              <w:bottom w:val="nil"/>
              <w:right w:val="single" w:sz="4" w:space="0" w:color="auto"/>
            </w:tcBorders>
            <w:shd w:val="clear" w:color="000000" w:fill="FFFFFF"/>
            <w:noWrap/>
            <w:vAlign w:val="bottom"/>
            <w:hideMark/>
          </w:tcPr>
          <w:p w14:paraId="32AF8ACD" w14:textId="33FB12CE"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34.24</w:t>
            </w:r>
          </w:p>
        </w:tc>
      </w:tr>
      <w:tr w:rsidR="001B1FE2" w:rsidRPr="000C091A" w14:paraId="359CF425"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4B7F3C0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10</w:t>
            </w:r>
          </w:p>
        </w:tc>
        <w:tc>
          <w:tcPr>
            <w:tcW w:w="804" w:type="dxa"/>
            <w:tcBorders>
              <w:top w:val="nil"/>
              <w:left w:val="nil"/>
              <w:bottom w:val="single" w:sz="4" w:space="0" w:color="auto"/>
              <w:right w:val="nil"/>
            </w:tcBorders>
            <w:shd w:val="clear" w:color="000000" w:fill="FFFFFF"/>
            <w:noWrap/>
            <w:vAlign w:val="bottom"/>
            <w:hideMark/>
          </w:tcPr>
          <w:p w14:paraId="6B2F678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nil"/>
            </w:tcBorders>
            <w:shd w:val="clear" w:color="000000" w:fill="FFFFFF"/>
            <w:noWrap/>
            <w:vAlign w:val="bottom"/>
            <w:hideMark/>
          </w:tcPr>
          <w:p w14:paraId="14A4B29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7" w:type="dxa"/>
            <w:tcBorders>
              <w:top w:val="nil"/>
              <w:left w:val="nil"/>
              <w:bottom w:val="single" w:sz="4" w:space="0" w:color="auto"/>
              <w:right w:val="nil"/>
            </w:tcBorders>
            <w:shd w:val="clear" w:color="000000" w:fill="FFFFFF"/>
            <w:noWrap/>
            <w:vAlign w:val="bottom"/>
            <w:hideMark/>
          </w:tcPr>
          <w:p w14:paraId="0D63217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3" w:type="dxa"/>
            <w:tcBorders>
              <w:top w:val="nil"/>
              <w:left w:val="nil"/>
              <w:bottom w:val="single" w:sz="4" w:space="0" w:color="auto"/>
              <w:right w:val="single" w:sz="4" w:space="0" w:color="auto"/>
            </w:tcBorders>
            <w:shd w:val="clear" w:color="000000" w:fill="FFFFFF"/>
            <w:noWrap/>
            <w:vAlign w:val="bottom"/>
            <w:hideMark/>
          </w:tcPr>
          <w:p w14:paraId="2F06D1C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18" w:type="dxa"/>
            <w:tcBorders>
              <w:top w:val="nil"/>
              <w:left w:val="single" w:sz="4" w:space="0" w:color="auto"/>
              <w:bottom w:val="single" w:sz="4" w:space="0" w:color="auto"/>
              <w:right w:val="nil"/>
            </w:tcBorders>
            <w:shd w:val="clear" w:color="000000" w:fill="C6D9F1" w:themeFill="text2" w:themeFillTint="33"/>
            <w:noWrap/>
            <w:vAlign w:val="bottom"/>
            <w:hideMark/>
          </w:tcPr>
          <w:p w14:paraId="33AB98F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0.50</w:t>
            </w:r>
          </w:p>
        </w:tc>
        <w:tc>
          <w:tcPr>
            <w:tcW w:w="800" w:type="dxa"/>
            <w:tcBorders>
              <w:top w:val="nil"/>
              <w:left w:val="nil"/>
              <w:bottom w:val="single" w:sz="4" w:space="0" w:color="auto"/>
              <w:right w:val="nil"/>
            </w:tcBorders>
            <w:shd w:val="clear" w:color="000000" w:fill="FFFFFF"/>
            <w:noWrap/>
            <w:vAlign w:val="bottom"/>
            <w:hideMark/>
          </w:tcPr>
          <w:p w14:paraId="5917058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nil"/>
              <w:bottom w:val="single" w:sz="4" w:space="0" w:color="auto"/>
              <w:right w:val="nil"/>
            </w:tcBorders>
            <w:shd w:val="clear" w:color="000000" w:fill="FFFFFF"/>
            <w:noWrap/>
            <w:vAlign w:val="bottom"/>
            <w:hideMark/>
          </w:tcPr>
          <w:p w14:paraId="633B094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6AE05D82" w14:textId="45B9D7E4"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30.10</w:t>
            </w:r>
          </w:p>
        </w:tc>
        <w:tc>
          <w:tcPr>
            <w:tcW w:w="903" w:type="dxa"/>
            <w:tcBorders>
              <w:top w:val="nil"/>
              <w:left w:val="nil"/>
              <w:bottom w:val="single" w:sz="4" w:space="0" w:color="auto"/>
              <w:right w:val="single" w:sz="4" w:space="0" w:color="auto"/>
            </w:tcBorders>
            <w:shd w:val="clear" w:color="000000" w:fill="FFFFFF"/>
            <w:noWrap/>
            <w:vAlign w:val="bottom"/>
            <w:hideMark/>
          </w:tcPr>
          <w:p w14:paraId="3C702735" w14:textId="125EF18A"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35.50</w:t>
            </w:r>
          </w:p>
        </w:tc>
      </w:tr>
      <w:tr w:rsidR="001B1FE2" w:rsidRPr="000C091A" w14:paraId="42825476"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614F0BC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11</w:t>
            </w:r>
          </w:p>
        </w:tc>
        <w:tc>
          <w:tcPr>
            <w:tcW w:w="804" w:type="dxa"/>
            <w:tcBorders>
              <w:top w:val="nil"/>
              <w:left w:val="nil"/>
              <w:bottom w:val="nil"/>
              <w:right w:val="nil"/>
            </w:tcBorders>
            <w:shd w:val="clear" w:color="000000" w:fill="FFFFFF"/>
            <w:noWrap/>
            <w:vAlign w:val="bottom"/>
            <w:hideMark/>
          </w:tcPr>
          <w:p w14:paraId="3082BC9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2288A4C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nil"/>
              <w:right w:val="nil"/>
            </w:tcBorders>
            <w:shd w:val="clear" w:color="000000" w:fill="FFFFFF"/>
            <w:noWrap/>
            <w:vAlign w:val="bottom"/>
            <w:hideMark/>
          </w:tcPr>
          <w:p w14:paraId="6F2700B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nil"/>
              <w:right w:val="nil"/>
            </w:tcBorders>
            <w:shd w:val="clear" w:color="000000" w:fill="FFFFFF"/>
            <w:noWrap/>
            <w:vAlign w:val="bottom"/>
            <w:hideMark/>
          </w:tcPr>
          <w:p w14:paraId="46529DA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nil"/>
              <w:right w:val="single" w:sz="4" w:space="0" w:color="auto"/>
            </w:tcBorders>
            <w:shd w:val="clear" w:color="000000" w:fill="FFFFFF"/>
            <w:noWrap/>
            <w:vAlign w:val="bottom"/>
            <w:hideMark/>
          </w:tcPr>
          <w:p w14:paraId="6A770C9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single" w:sz="4" w:space="0" w:color="auto"/>
              <w:left w:val="single" w:sz="4" w:space="0" w:color="auto"/>
              <w:bottom w:val="nil"/>
              <w:right w:val="nil"/>
            </w:tcBorders>
            <w:shd w:val="clear" w:color="000000" w:fill="C6D9F1" w:themeFill="text2" w:themeFillTint="33"/>
            <w:noWrap/>
            <w:vAlign w:val="bottom"/>
            <w:hideMark/>
          </w:tcPr>
          <w:p w14:paraId="742A355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1199" w:type="dxa"/>
            <w:tcBorders>
              <w:top w:val="nil"/>
              <w:left w:val="nil"/>
              <w:bottom w:val="nil"/>
              <w:right w:val="nil"/>
            </w:tcBorders>
            <w:shd w:val="clear" w:color="000000" w:fill="FFFFFF"/>
            <w:noWrap/>
            <w:vAlign w:val="bottom"/>
            <w:hideMark/>
          </w:tcPr>
          <w:p w14:paraId="124E72C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nil"/>
              <w:right w:val="nil"/>
            </w:tcBorders>
            <w:shd w:val="clear" w:color="000000" w:fill="FFFFFF"/>
            <w:noWrap/>
            <w:vAlign w:val="bottom"/>
          </w:tcPr>
          <w:p w14:paraId="6695FA1B" w14:textId="059C10C3"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27.58</w:t>
            </w:r>
          </w:p>
        </w:tc>
        <w:tc>
          <w:tcPr>
            <w:tcW w:w="903" w:type="dxa"/>
            <w:tcBorders>
              <w:top w:val="nil"/>
              <w:left w:val="nil"/>
              <w:bottom w:val="nil"/>
              <w:right w:val="single" w:sz="4" w:space="0" w:color="auto"/>
            </w:tcBorders>
            <w:shd w:val="clear" w:color="000000" w:fill="FFFFFF"/>
            <w:noWrap/>
            <w:vAlign w:val="bottom"/>
            <w:hideMark/>
          </w:tcPr>
          <w:p w14:paraId="22A8D865" w14:textId="3F369BEE"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32.08</w:t>
            </w:r>
          </w:p>
        </w:tc>
      </w:tr>
      <w:tr w:rsidR="001B1FE2" w:rsidRPr="000C091A" w14:paraId="12E90F60"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1CEF0E6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12</w:t>
            </w:r>
          </w:p>
        </w:tc>
        <w:tc>
          <w:tcPr>
            <w:tcW w:w="804" w:type="dxa"/>
            <w:tcBorders>
              <w:top w:val="nil"/>
              <w:left w:val="nil"/>
              <w:bottom w:val="single" w:sz="4" w:space="0" w:color="auto"/>
              <w:right w:val="nil"/>
            </w:tcBorders>
            <w:shd w:val="clear" w:color="000000" w:fill="FFFFFF"/>
            <w:noWrap/>
            <w:vAlign w:val="bottom"/>
            <w:hideMark/>
          </w:tcPr>
          <w:p w14:paraId="1A096A7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nil"/>
            </w:tcBorders>
            <w:shd w:val="clear" w:color="000000" w:fill="FFFFFF"/>
            <w:noWrap/>
            <w:vAlign w:val="bottom"/>
            <w:hideMark/>
          </w:tcPr>
          <w:p w14:paraId="7645AB7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single" w:sz="4" w:space="0" w:color="auto"/>
              <w:right w:val="nil"/>
            </w:tcBorders>
            <w:shd w:val="clear" w:color="000000" w:fill="FFFFFF"/>
            <w:noWrap/>
            <w:vAlign w:val="bottom"/>
            <w:hideMark/>
          </w:tcPr>
          <w:p w14:paraId="69D017C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single" w:sz="4" w:space="0" w:color="auto"/>
              <w:right w:val="nil"/>
            </w:tcBorders>
            <w:shd w:val="clear" w:color="000000" w:fill="FFFFFF"/>
            <w:noWrap/>
            <w:vAlign w:val="bottom"/>
            <w:hideMark/>
          </w:tcPr>
          <w:p w14:paraId="6F2DDB0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single" w:sz="4" w:space="0" w:color="auto"/>
              <w:right w:val="single" w:sz="4" w:space="0" w:color="auto"/>
            </w:tcBorders>
            <w:shd w:val="clear" w:color="000000" w:fill="FFFFFF"/>
            <w:noWrap/>
            <w:vAlign w:val="bottom"/>
            <w:hideMark/>
          </w:tcPr>
          <w:p w14:paraId="4D38874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single" w:sz="4" w:space="0" w:color="auto"/>
              <w:bottom w:val="single" w:sz="4" w:space="0" w:color="auto"/>
              <w:right w:val="nil"/>
            </w:tcBorders>
            <w:shd w:val="clear" w:color="000000" w:fill="C6D9F1" w:themeFill="text2" w:themeFillTint="33"/>
            <w:noWrap/>
            <w:vAlign w:val="bottom"/>
            <w:hideMark/>
          </w:tcPr>
          <w:p w14:paraId="0CAB035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1199" w:type="dxa"/>
            <w:tcBorders>
              <w:top w:val="nil"/>
              <w:left w:val="nil"/>
              <w:bottom w:val="single" w:sz="4" w:space="0" w:color="auto"/>
              <w:right w:val="nil"/>
            </w:tcBorders>
            <w:shd w:val="clear" w:color="000000" w:fill="FFFFFF"/>
            <w:noWrap/>
            <w:vAlign w:val="bottom"/>
            <w:hideMark/>
          </w:tcPr>
          <w:p w14:paraId="17ACECB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5" w:type="dxa"/>
            <w:tcBorders>
              <w:top w:val="nil"/>
              <w:left w:val="single" w:sz="4" w:space="0" w:color="auto"/>
              <w:bottom w:val="single" w:sz="4" w:space="0" w:color="auto"/>
              <w:right w:val="nil"/>
            </w:tcBorders>
            <w:shd w:val="clear" w:color="000000" w:fill="FFFFFF"/>
            <w:noWrap/>
            <w:vAlign w:val="bottom"/>
          </w:tcPr>
          <w:p w14:paraId="6000F6F9" w14:textId="4F3BAE8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27.58</w:t>
            </w:r>
          </w:p>
        </w:tc>
        <w:tc>
          <w:tcPr>
            <w:tcW w:w="903" w:type="dxa"/>
            <w:tcBorders>
              <w:top w:val="nil"/>
              <w:left w:val="nil"/>
              <w:bottom w:val="single" w:sz="4" w:space="0" w:color="auto"/>
              <w:right w:val="single" w:sz="4" w:space="0" w:color="auto"/>
            </w:tcBorders>
            <w:shd w:val="clear" w:color="000000" w:fill="FFFFFF"/>
            <w:noWrap/>
            <w:vAlign w:val="bottom"/>
            <w:hideMark/>
          </w:tcPr>
          <w:p w14:paraId="200FA2E6" w14:textId="44C1D81D"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33.66</w:t>
            </w:r>
          </w:p>
        </w:tc>
      </w:tr>
      <w:tr w:rsidR="001B1FE2" w:rsidRPr="000C091A" w14:paraId="3BD8D2A9" w14:textId="77777777" w:rsidTr="007A46A8">
        <w:trPr>
          <w:trHeight w:val="230"/>
        </w:trPr>
        <w:tc>
          <w:tcPr>
            <w:tcW w:w="802" w:type="dxa"/>
            <w:tcBorders>
              <w:top w:val="nil"/>
              <w:left w:val="single" w:sz="4" w:space="0" w:color="auto"/>
              <w:bottom w:val="nil"/>
              <w:right w:val="single" w:sz="4" w:space="0" w:color="auto"/>
            </w:tcBorders>
            <w:shd w:val="clear" w:color="000000" w:fill="FFFFFF"/>
            <w:noWrap/>
            <w:vAlign w:val="bottom"/>
            <w:hideMark/>
          </w:tcPr>
          <w:p w14:paraId="11FF83BC"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13</w:t>
            </w:r>
          </w:p>
        </w:tc>
        <w:tc>
          <w:tcPr>
            <w:tcW w:w="804" w:type="dxa"/>
            <w:tcBorders>
              <w:top w:val="nil"/>
              <w:left w:val="nil"/>
              <w:bottom w:val="nil"/>
              <w:right w:val="nil"/>
            </w:tcBorders>
            <w:shd w:val="clear" w:color="000000" w:fill="FFFFFF"/>
            <w:noWrap/>
            <w:vAlign w:val="bottom"/>
            <w:hideMark/>
          </w:tcPr>
          <w:p w14:paraId="126D7D12"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nil"/>
              <w:right w:val="nil"/>
            </w:tcBorders>
            <w:shd w:val="clear" w:color="000000" w:fill="FFFFFF"/>
            <w:noWrap/>
            <w:vAlign w:val="bottom"/>
            <w:hideMark/>
          </w:tcPr>
          <w:p w14:paraId="0D63D0B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nil"/>
              <w:right w:val="nil"/>
            </w:tcBorders>
            <w:shd w:val="clear" w:color="000000" w:fill="FFFFFF"/>
            <w:noWrap/>
            <w:vAlign w:val="bottom"/>
            <w:hideMark/>
          </w:tcPr>
          <w:p w14:paraId="494BBB2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nil"/>
              <w:right w:val="nil"/>
            </w:tcBorders>
            <w:shd w:val="clear" w:color="000000" w:fill="FFFFFF"/>
            <w:noWrap/>
            <w:vAlign w:val="bottom"/>
            <w:hideMark/>
          </w:tcPr>
          <w:p w14:paraId="79578E7F"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nil"/>
              <w:right w:val="nil"/>
            </w:tcBorders>
            <w:shd w:val="clear" w:color="000000" w:fill="FFFFFF"/>
            <w:noWrap/>
            <w:vAlign w:val="bottom"/>
            <w:hideMark/>
          </w:tcPr>
          <w:p w14:paraId="2F029B5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nil"/>
              <w:right w:val="single" w:sz="4" w:space="0" w:color="auto"/>
            </w:tcBorders>
            <w:shd w:val="clear" w:color="000000" w:fill="FFFFFF"/>
            <w:noWrap/>
            <w:vAlign w:val="bottom"/>
            <w:hideMark/>
          </w:tcPr>
          <w:p w14:paraId="120E468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single" w:sz="4" w:space="0" w:color="auto"/>
              <w:left w:val="single" w:sz="4" w:space="0" w:color="auto"/>
              <w:right w:val="single" w:sz="4" w:space="0" w:color="auto"/>
            </w:tcBorders>
            <w:shd w:val="clear" w:color="000000" w:fill="C6D9F1" w:themeFill="text2" w:themeFillTint="33"/>
            <w:noWrap/>
            <w:vAlign w:val="bottom"/>
            <w:hideMark/>
          </w:tcPr>
          <w:p w14:paraId="48B46E6D"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0.15</w:t>
            </w:r>
          </w:p>
        </w:tc>
        <w:tc>
          <w:tcPr>
            <w:tcW w:w="805" w:type="dxa"/>
            <w:tcBorders>
              <w:top w:val="single" w:sz="4" w:space="0" w:color="auto"/>
              <w:left w:val="single" w:sz="4" w:space="0" w:color="auto"/>
              <w:bottom w:val="nil"/>
              <w:right w:val="nil"/>
            </w:tcBorders>
            <w:shd w:val="clear" w:color="000000" w:fill="FFFFFF"/>
            <w:noWrap/>
            <w:vAlign w:val="bottom"/>
          </w:tcPr>
          <w:p w14:paraId="4CFD2D14" w14:textId="11C109A4" w:rsidR="001B1FE2" w:rsidRPr="007A46A8" w:rsidRDefault="001B1FE2" w:rsidP="00604F53">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27.</w:t>
            </w:r>
            <w:r w:rsidR="00604F53">
              <w:rPr>
                <w:rFonts w:ascii="Arial" w:eastAsia="Times New Roman" w:hAnsi="Arial" w:cs="Arial"/>
                <w:color w:val="000000"/>
                <w:sz w:val="16"/>
                <w:szCs w:val="16"/>
              </w:rPr>
              <w:t>00</w:t>
            </w:r>
          </w:p>
        </w:tc>
        <w:tc>
          <w:tcPr>
            <w:tcW w:w="903" w:type="dxa"/>
            <w:tcBorders>
              <w:top w:val="nil"/>
              <w:left w:val="nil"/>
              <w:bottom w:val="nil"/>
              <w:right w:val="single" w:sz="4" w:space="0" w:color="auto"/>
            </w:tcBorders>
            <w:shd w:val="clear" w:color="000000" w:fill="FFFFFF"/>
            <w:noWrap/>
            <w:vAlign w:val="bottom"/>
            <w:hideMark/>
          </w:tcPr>
          <w:p w14:paraId="27B73E2B" w14:textId="6866AFFD" w:rsidR="001B1FE2" w:rsidRPr="007A46A8" w:rsidRDefault="001B1FE2" w:rsidP="00604F53">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32.</w:t>
            </w:r>
            <w:r w:rsidR="00604F53">
              <w:rPr>
                <w:rFonts w:ascii="Arial" w:eastAsia="Times New Roman" w:hAnsi="Arial" w:cs="Arial"/>
                <w:color w:val="000000"/>
                <w:sz w:val="16"/>
                <w:szCs w:val="16"/>
              </w:rPr>
              <w:t>10</w:t>
            </w:r>
          </w:p>
        </w:tc>
      </w:tr>
      <w:tr w:rsidR="001B1FE2" w:rsidRPr="000C091A" w14:paraId="1470FA60"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08166B79"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14</w:t>
            </w:r>
          </w:p>
        </w:tc>
        <w:tc>
          <w:tcPr>
            <w:tcW w:w="804" w:type="dxa"/>
            <w:tcBorders>
              <w:top w:val="nil"/>
              <w:left w:val="nil"/>
              <w:bottom w:val="single" w:sz="4" w:space="0" w:color="auto"/>
              <w:right w:val="nil"/>
            </w:tcBorders>
            <w:shd w:val="clear" w:color="000000" w:fill="FFFFFF"/>
            <w:noWrap/>
            <w:vAlign w:val="bottom"/>
            <w:hideMark/>
          </w:tcPr>
          <w:p w14:paraId="5F25BEC5"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800" w:type="dxa"/>
            <w:tcBorders>
              <w:top w:val="nil"/>
              <w:left w:val="nil"/>
              <w:bottom w:val="single" w:sz="4" w:space="0" w:color="auto"/>
              <w:right w:val="nil"/>
            </w:tcBorders>
            <w:shd w:val="clear" w:color="000000" w:fill="FFFFFF"/>
            <w:noWrap/>
            <w:vAlign w:val="bottom"/>
            <w:hideMark/>
          </w:tcPr>
          <w:p w14:paraId="4614862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7" w:type="dxa"/>
            <w:tcBorders>
              <w:top w:val="nil"/>
              <w:left w:val="nil"/>
              <w:bottom w:val="single" w:sz="4" w:space="0" w:color="auto"/>
              <w:right w:val="nil"/>
            </w:tcBorders>
            <w:shd w:val="clear" w:color="000000" w:fill="FFFFFF"/>
            <w:noWrap/>
            <w:vAlign w:val="bottom"/>
            <w:hideMark/>
          </w:tcPr>
          <w:p w14:paraId="1C6B3FF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3" w:type="dxa"/>
            <w:tcBorders>
              <w:top w:val="nil"/>
              <w:left w:val="nil"/>
              <w:bottom w:val="single" w:sz="4" w:space="0" w:color="auto"/>
              <w:right w:val="nil"/>
            </w:tcBorders>
            <w:shd w:val="clear" w:color="000000" w:fill="FFFFFF"/>
            <w:noWrap/>
            <w:vAlign w:val="bottom"/>
            <w:hideMark/>
          </w:tcPr>
          <w:p w14:paraId="5980B5C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18" w:type="dxa"/>
            <w:tcBorders>
              <w:top w:val="nil"/>
              <w:left w:val="nil"/>
              <w:bottom w:val="single" w:sz="4" w:space="0" w:color="auto"/>
              <w:right w:val="nil"/>
            </w:tcBorders>
            <w:shd w:val="clear" w:color="000000" w:fill="FFFFFF"/>
            <w:noWrap/>
            <w:vAlign w:val="bottom"/>
            <w:hideMark/>
          </w:tcPr>
          <w:p w14:paraId="39C95F3E"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0" w:type="dxa"/>
            <w:tcBorders>
              <w:top w:val="nil"/>
              <w:left w:val="nil"/>
              <w:bottom w:val="single" w:sz="4" w:space="0" w:color="auto"/>
              <w:right w:val="single" w:sz="4" w:space="0" w:color="auto"/>
            </w:tcBorders>
            <w:shd w:val="clear" w:color="000000" w:fill="FFFFFF"/>
            <w:noWrap/>
            <w:vAlign w:val="bottom"/>
            <w:hideMark/>
          </w:tcPr>
          <w:p w14:paraId="7D5794D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nil"/>
              <w:left w:val="single" w:sz="4" w:space="0" w:color="auto"/>
              <w:bottom w:val="single" w:sz="4" w:space="0" w:color="auto"/>
              <w:right w:val="single" w:sz="4" w:space="0" w:color="auto"/>
            </w:tcBorders>
            <w:shd w:val="clear" w:color="000000" w:fill="C6D9F1" w:themeFill="text2" w:themeFillTint="33"/>
            <w:noWrap/>
            <w:vAlign w:val="bottom"/>
            <w:hideMark/>
          </w:tcPr>
          <w:p w14:paraId="23F66C67"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5" w:type="dxa"/>
            <w:tcBorders>
              <w:top w:val="nil"/>
              <w:left w:val="single" w:sz="4" w:space="0" w:color="auto"/>
              <w:bottom w:val="single" w:sz="4" w:space="0" w:color="auto"/>
              <w:right w:val="nil"/>
            </w:tcBorders>
            <w:shd w:val="clear" w:color="000000" w:fill="FFFFFF"/>
            <w:noWrap/>
            <w:vAlign w:val="bottom"/>
          </w:tcPr>
          <w:p w14:paraId="3FA972FA" w14:textId="0EB93109" w:rsidR="001B1FE2" w:rsidRPr="007A46A8" w:rsidRDefault="00604F53" w:rsidP="000C091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26.8</w:t>
            </w:r>
            <w:r w:rsidR="007536DE">
              <w:rPr>
                <w:rFonts w:ascii="Arial" w:eastAsia="Times New Roman" w:hAnsi="Arial" w:cs="Arial"/>
                <w:color w:val="000000"/>
                <w:sz w:val="16"/>
                <w:szCs w:val="16"/>
              </w:rPr>
              <w:t>0</w:t>
            </w:r>
          </w:p>
        </w:tc>
        <w:tc>
          <w:tcPr>
            <w:tcW w:w="903" w:type="dxa"/>
            <w:tcBorders>
              <w:top w:val="nil"/>
              <w:left w:val="nil"/>
              <w:bottom w:val="single" w:sz="4" w:space="0" w:color="auto"/>
              <w:right w:val="single" w:sz="4" w:space="0" w:color="auto"/>
            </w:tcBorders>
            <w:shd w:val="clear" w:color="000000" w:fill="FFFFFF"/>
            <w:noWrap/>
            <w:vAlign w:val="bottom"/>
            <w:hideMark/>
          </w:tcPr>
          <w:p w14:paraId="62ACA634" w14:textId="197D28DD" w:rsidR="001B1FE2" w:rsidRPr="007A46A8" w:rsidRDefault="001B1FE2" w:rsidP="00604F53">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3</w:t>
            </w:r>
            <w:r w:rsidR="00604F53">
              <w:rPr>
                <w:rFonts w:ascii="Arial" w:eastAsia="Times New Roman" w:hAnsi="Arial" w:cs="Arial"/>
                <w:color w:val="000000"/>
                <w:sz w:val="16"/>
                <w:szCs w:val="16"/>
              </w:rPr>
              <w:t>1</w:t>
            </w:r>
            <w:r w:rsidRPr="007A46A8">
              <w:rPr>
                <w:rFonts w:ascii="Arial" w:eastAsia="Times New Roman" w:hAnsi="Arial" w:cs="Arial"/>
                <w:color w:val="000000"/>
                <w:sz w:val="16"/>
                <w:szCs w:val="16"/>
              </w:rPr>
              <w:t>.87</w:t>
            </w:r>
          </w:p>
        </w:tc>
      </w:tr>
      <w:tr w:rsidR="007A46A8" w:rsidRPr="000C091A" w14:paraId="0EF3FFBE" w14:textId="77777777" w:rsidTr="007A46A8">
        <w:trPr>
          <w:trHeight w:val="230"/>
        </w:trPr>
        <w:tc>
          <w:tcPr>
            <w:tcW w:w="802" w:type="dxa"/>
            <w:tcBorders>
              <w:top w:val="nil"/>
              <w:left w:val="single" w:sz="4" w:space="0" w:color="auto"/>
              <w:bottom w:val="single" w:sz="4" w:space="0" w:color="auto"/>
              <w:right w:val="single" w:sz="4" w:space="0" w:color="auto"/>
            </w:tcBorders>
            <w:shd w:val="clear" w:color="000000" w:fill="FFFFFF"/>
            <w:noWrap/>
            <w:vAlign w:val="bottom"/>
            <w:hideMark/>
          </w:tcPr>
          <w:p w14:paraId="4D41F46A"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15</w:t>
            </w:r>
          </w:p>
        </w:tc>
        <w:tc>
          <w:tcPr>
            <w:tcW w:w="804" w:type="dxa"/>
            <w:tcBorders>
              <w:top w:val="single" w:sz="4" w:space="0" w:color="auto"/>
              <w:left w:val="nil"/>
              <w:bottom w:val="single" w:sz="4" w:space="0" w:color="auto"/>
              <w:right w:val="nil"/>
            </w:tcBorders>
            <w:shd w:val="clear" w:color="000000" w:fill="C6D9F1" w:themeFill="text2" w:themeFillTint="33"/>
            <w:noWrap/>
            <w:vAlign w:val="bottom"/>
            <w:hideMark/>
          </w:tcPr>
          <w:p w14:paraId="764A618B"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0.30</w:t>
            </w:r>
          </w:p>
        </w:tc>
        <w:tc>
          <w:tcPr>
            <w:tcW w:w="800" w:type="dxa"/>
            <w:tcBorders>
              <w:top w:val="nil"/>
              <w:left w:val="nil"/>
              <w:bottom w:val="single" w:sz="4" w:space="0" w:color="auto"/>
              <w:right w:val="single" w:sz="4" w:space="0" w:color="auto"/>
            </w:tcBorders>
            <w:shd w:val="clear" w:color="000000" w:fill="FFFFFF"/>
            <w:noWrap/>
            <w:vAlign w:val="bottom"/>
            <w:hideMark/>
          </w:tcPr>
          <w:p w14:paraId="1E8D05F0"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0.20</w:t>
            </w:r>
          </w:p>
        </w:tc>
        <w:tc>
          <w:tcPr>
            <w:tcW w:w="807" w:type="dxa"/>
            <w:tcBorders>
              <w:top w:val="single" w:sz="4" w:space="0" w:color="auto"/>
              <w:left w:val="single" w:sz="4" w:space="0" w:color="auto"/>
              <w:bottom w:val="single" w:sz="4" w:space="0" w:color="auto"/>
              <w:right w:val="nil"/>
            </w:tcBorders>
            <w:shd w:val="clear" w:color="000000" w:fill="C6D9F1" w:themeFill="text2" w:themeFillTint="33"/>
            <w:noWrap/>
            <w:vAlign w:val="bottom"/>
            <w:hideMark/>
          </w:tcPr>
          <w:p w14:paraId="23298601"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0.60</w:t>
            </w:r>
          </w:p>
        </w:tc>
        <w:tc>
          <w:tcPr>
            <w:tcW w:w="803" w:type="dxa"/>
            <w:tcBorders>
              <w:top w:val="nil"/>
              <w:left w:val="nil"/>
              <w:bottom w:val="single" w:sz="4" w:space="0" w:color="auto"/>
              <w:right w:val="nil"/>
            </w:tcBorders>
            <w:shd w:val="clear" w:color="000000" w:fill="FFFFFF"/>
            <w:noWrap/>
            <w:vAlign w:val="bottom"/>
            <w:hideMark/>
          </w:tcPr>
          <w:p w14:paraId="0B06A896"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18" w:type="dxa"/>
            <w:tcBorders>
              <w:top w:val="nil"/>
              <w:left w:val="nil"/>
              <w:bottom w:val="single" w:sz="4" w:space="0" w:color="auto"/>
              <w:right w:val="nil"/>
            </w:tcBorders>
            <w:shd w:val="clear" w:color="000000" w:fill="FFFFFF"/>
            <w:noWrap/>
            <w:vAlign w:val="bottom"/>
            <w:hideMark/>
          </w:tcPr>
          <w:p w14:paraId="197E3C44"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0.10</w:t>
            </w:r>
          </w:p>
        </w:tc>
        <w:tc>
          <w:tcPr>
            <w:tcW w:w="800" w:type="dxa"/>
            <w:tcBorders>
              <w:top w:val="nil"/>
              <w:left w:val="nil"/>
              <w:bottom w:val="single" w:sz="4" w:space="0" w:color="auto"/>
            </w:tcBorders>
            <w:shd w:val="clear" w:color="000000" w:fill="FFFFFF"/>
            <w:noWrap/>
            <w:vAlign w:val="bottom"/>
            <w:hideMark/>
          </w:tcPr>
          <w:p w14:paraId="1ADAB1E8" w14:textId="77777777"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0.00</w:t>
            </w:r>
          </w:p>
        </w:tc>
        <w:tc>
          <w:tcPr>
            <w:tcW w:w="1199" w:type="dxa"/>
            <w:tcBorders>
              <w:top w:val="single" w:sz="4" w:space="0" w:color="auto"/>
              <w:bottom w:val="single" w:sz="4" w:space="0" w:color="auto"/>
              <w:right w:val="single" w:sz="4" w:space="0" w:color="auto"/>
            </w:tcBorders>
            <w:shd w:val="clear" w:color="000000" w:fill="FFFFFF" w:themeFill="background1"/>
            <w:noWrap/>
            <w:vAlign w:val="bottom"/>
            <w:hideMark/>
          </w:tcPr>
          <w:p w14:paraId="52E7C368" w14:textId="21CCBDD7" w:rsidR="001B1FE2" w:rsidRPr="007A46A8" w:rsidRDefault="001B1FE2" w:rsidP="007A46A8">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0.</w:t>
            </w:r>
            <w:r w:rsidR="007A46A8">
              <w:rPr>
                <w:rFonts w:ascii="Arial" w:eastAsia="Times New Roman" w:hAnsi="Arial" w:cs="Arial"/>
                <w:color w:val="000000"/>
                <w:sz w:val="16"/>
                <w:szCs w:val="16"/>
              </w:rPr>
              <w:t>00</w:t>
            </w:r>
          </w:p>
        </w:tc>
        <w:tc>
          <w:tcPr>
            <w:tcW w:w="805" w:type="dxa"/>
            <w:tcBorders>
              <w:top w:val="nil"/>
              <w:left w:val="single" w:sz="4" w:space="0" w:color="auto"/>
              <w:bottom w:val="single" w:sz="4" w:space="0" w:color="auto"/>
              <w:right w:val="nil"/>
            </w:tcBorders>
            <w:shd w:val="clear" w:color="000000" w:fill="FFFFFF"/>
            <w:noWrap/>
            <w:vAlign w:val="bottom"/>
          </w:tcPr>
          <w:p w14:paraId="20405A7B" w14:textId="31608BE0"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7.06</w:t>
            </w:r>
          </w:p>
        </w:tc>
        <w:tc>
          <w:tcPr>
            <w:tcW w:w="903" w:type="dxa"/>
            <w:tcBorders>
              <w:top w:val="nil"/>
              <w:left w:val="nil"/>
              <w:bottom w:val="single" w:sz="4" w:space="0" w:color="auto"/>
              <w:right w:val="single" w:sz="4" w:space="0" w:color="auto"/>
            </w:tcBorders>
            <w:shd w:val="clear" w:color="000000" w:fill="FFFFFF"/>
            <w:noWrap/>
            <w:vAlign w:val="bottom"/>
            <w:hideMark/>
          </w:tcPr>
          <w:p w14:paraId="5FDBD129" w14:textId="1434247D" w:rsidR="001B1FE2" w:rsidRPr="007A46A8" w:rsidRDefault="001B1FE2" w:rsidP="000C091A">
            <w:pPr>
              <w:spacing w:after="0" w:line="240" w:lineRule="auto"/>
              <w:jc w:val="center"/>
              <w:rPr>
                <w:rFonts w:ascii="Arial" w:eastAsia="Times New Roman" w:hAnsi="Arial" w:cs="Arial"/>
                <w:color w:val="000000"/>
                <w:sz w:val="16"/>
                <w:szCs w:val="16"/>
              </w:rPr>
            </w:pPr>
            <w:r w:rsidRPr="007A46A8">
              <w:rPr>
                <w:rFonts w:ascii="Arial" w:eastAsia="Times New Roman" w:hAnsi="Arial" w:cs="Arial"/>
                <w:color w:val="000000"/>
                <w:sz w:val="16"/>
                <w:szCs w:val="16"/>
              </w:rPr>
              <w:t>12.46</w:t>
            </w:r>
          </w:p>
        </w:tc>
      </w:tr>
    </w:tbl>
    <w:p w14:paraId="016CC455" w14:textId="77777777" w:rsidR="000C091A" w:rsidRDefault="000C091A" w:rsidP="0086368C">
      <w:pPr>
        <w:pStyle w:val="Paragraph"/>
        <w:numPr>
          <w:ilvl w:val="0"/>
          <w:numId w:val="0"/>
        </w:numPr>
        <w:spacing w:before="0" w:after="0" w:line="276" w:lineRule="auto"/>
        <w:ind w:left="360"/>
        <w:jc w:val="center"/>
        <w:rPr>
          <w:rFonts w:ascii="Arial" w:hAnsi="Arial" w:cs="Arial"/>
          <w:b/>
          <w:bCs/>
          <w:sz w:val="20"/>
          <w:szCs w:val="20"/>
        </w:rPr>
      </w:pPr>
    </w:p>
    <w:p w14:paraId="44B490B9" w14:textId="77777777" w:rsidR="000C091A" w:rsidRDefault="000C091A" w:rsidP="0086368C">
      <w:pPr>
        <w:pStyle w:val="Paragraph"/>
        <w:numPr>
          <w:ilvl w:val="0"/>
          <w:numId w:val="0"/>
        </w:numPr>
        <w:spacing w:before="0" w:after="0" w:line="276" w:lineRule="auto"/>
        <w:ind w:left="360"/>
        <w:jc w:val="center"/>
      </w:pPr>
    </w:p>
    <w:p w14:paraId="1C6EF1BE" w14:textId="77777777" w:rsidR="005F7F9F" w:rsidRPr="00F26752" w:rsidRDefault="005F7F9F" w:rsidP="007A2154">
      <w:pPr>
        <w:pStyle w:val="ListParagraph"/>
        <w:tabs>
          <w:tab w:val="left" w:pos="810"/>
        </w:tabs>
        <w:spacing w:after="120"/>
        <w:contextualSpacing w:val="0"/>
        <w:jc w:val="both"/>
        <w:rPr>
          <w:rFonts w:ascii="Arial" w:hAnsi="Arial" w:cs="Arial"/>
          <w:sz w:val="20"/>
          <w:szCs w:val="20"/>
        </w:rPr>
      </w:pPr>
    </w:p>
    <w:p w14:paraId="673CBC6B" w14:textId="35E5D550" w:rsidR="00BD236F" w:rsidRDefault="00253CF8" w:rsidP="00DD6E5A">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The analysis highlights the importance of two of the main characteristics of </w:t>
      </w:r>
      <w:r w:rsidR="00D021C5">
        <w:rPr>
          <w:rFonts w:ascii="Arial" w:hAnsi="Arial" w:cs="Arial"/>
        </w:rPr>
        <w:t xml:space="preserve">the profitability of </w:t>
      </w:r>
      <w:r w:rsidR="00DD6E5A">
        <w:rPr>
          <w:rFonts w:ascii="Arial" w:hAnsi="Arial" w:cs="Arial"/>
        </w:rPr>
        <w:t>RE investments</w:t>
      </w:r>
      <w:r w:rsidR="00D021C5">
        <w:rPr>
          <w:rFonts w:ascii="Arial" w:hAnsi="Arial" w:cs="Arial"/>
        </w:rPr>
        <w:t xml:space="preserve"> under this model</w:t>
      </w:r>
      <w:r w:rsidR="007578B3" w:rsidRPr="00F26752">
        <w:rPr>
          <w:rFonts w:ascii="Arial" w:hAnsi="Arial" w:cs="Arial"/>
        </w:rPr>
        <w:t xml:space="preserve">. </w:t>
      </w:r>
      <w:r w:rsidR="00D021C5">
        <w:rPr>
          <w:rFonts w:ascii="Arial" w:hAnsi="Arial" w:cs="Arial"/>
        </w:rPr>
        <w:t>First, it shows that an increase in the share of the hybrid participation in the mix of RE generation yields the second lowest private NPV of the simulated scenarios. This is explained by the increased participation of diesel generation in the RE mix (because a hybrid plant combines diesel generation and solar generation). Hence, the cost savings are significantly reduced</w:t>
      </w:r>
      <w:r w:rsidR="00BD236F">
        <w:rPr>
          <w:rFonts w:ascii="Arial" w:hAnsi="Arial" w:cs="Arial"/>
        </w:rPr>
        <w:t xml:space="preserve">. Furthermore, this increments the emissions under the project. </w:t>
      </w:r>
      <w:r w:rsidR="003466C3">
        <w:rPr>
          <w:rFonts w:ascii="Arial" w:hAnsi="Arial" w:cs="Arial"/>
        </w:rPr>
        <w:t xml:space="preserve">We also see that variations in carbon price have small impact on the overall NPV since the most important component of program benefits are due to cost savings. Furthermore, we observe than an increase in the investment cost of renewable energy has a negative effect over the program´s NPV due to the reduction in RE investment and hence, in an increase in operational costs and a decrease in </w:t>
      </w:r>
      <w:r w:rsidR="00984301">
        <w:rPr>
          <w:rFonts w:ascii="Arial" w:hAnsi="Arial" w:cs="Arial"/>
        </w:rPr>
        <w:t>emissions reductions.</w:t>
      </w:r>
    </w:p>
    <w:p w14:paraId="20155021" w14:textId="77777777" w:rsidR="003B626C" w:rsidRDefault="00BD236F" w:rsidP="00DD6E5A">
      <w:pPr>
        <w:pStyle w:val="ListParagraph"/>
        <w:numPr>
          <w:ilvl w:val="1"/>
          <w:numId w:val="5"/>
        </w:numPr>
        <w:tabs>
          <w:tab w:val="left" w:pos="810"/>
        </w:tabs>
        <w:spacing w:after="120"/>
        <w:contextualSpacing w:val="0"/>
        <w:jc w:val="both"/>
        <w:rPr>
          <w:rFonts w:ascii="Arial" w:hAnsi="Arial" w:cs="Arial"/>
        </w:rPr>
      </w:pPr>
      <w:r>
        <w:rPr>
          <w:rFonts w:ascii="Arial" w:hAnsi="Arial" w:cs="Arial"/>
        </w:rPr>
        <w:lastRenderedPageBreak/>
        <w:t>On the other hand, we observe that a combined scenario of 30% increase in RE operational costs plus an increase in hybrid participation to 60% yield the lowest private and total NPV of the simulated scenarios. This reflects the fact that the low O&amp;M of renewable technologies is an important component of the profitability of the business model.</w:t>
      </w:r>
    </w:p>
    <w:p w14:paraId="5DF84D9C" w14:textId="60A8CFFB" w:rsidR="00B45796" w:rsidRDefault="00B45796" w:rsidP="00DD6E5A">
      <w:pPr>
        <w:pStyle w:val="ListParagraph"/>
        <w:numPr>
          <w:ilvl w:val="1"/>
          <w:numId w:val="5"/>
        </w:numPr>
        <w:tabs>
          <w:tab w:val="left" w:pos="810"/>
        </w:tabs>
        <w:spacing w:after="120"/>
        <w:contextualSpacing w:val="0"/>
        <w:jc w:val="both"/>
        <w:rPr>
          <w:rFonts w:ascii="Arial" w:hAnsi="Arial" w:cs="Arial"/>
        </w:rPr>
      </w:pPr>
      <w:r w:rsidRPr="005E3CA6">
        <w:rPr>
          <w:rFonts w:ascii="Arial" w:hAnsi="Arial" w:cs="Arial"/>
          <w:b/>
        </w:rPr>
        <w:t>Additional Scenario.</w:t>
      </w:r>
      <w:r>
        <w:rPr>
          <w:rFonts w:ascii="Arial" w:hAnsi="Arial" w:cs="Arial"/>
        </w:rPr>
        <w:t xml:space="preserve"> An additional scenario was simulated for the sensitivity analysis. In this case, we considered a counterfactual scenario in which there is private investment in RE funded from sources other than the Program. This departs from our baseline scenario in which all new investments are made in diesel generation. We consider t</w:t>
      </w:r>
      <w:r w:rsidR="003F2317">
        <w:rPr>
          <w:rFonts w:ascii="Arial" w:hAnsi="Arial" w:cs="Arial"/>
        </w:rPr>
        <w:t>w</w:t>
      </w:r>
      <w:r>
        <w:rPr>
          <w:rFonts w:ascii="Arial" w:hAnsi="Arial" w:cs="Arial"/>
        </w:rPr>
        <w:t>o variations for this analysis: In the first one, 7% of new energy generation is produced by RE energy, while in the second one 15% is destined to RE energy.</w:t>
      </w:r>
      <w:r w:rsidR="003F2317">
        <w:rPr>
          <w:rFonts w:ascii="Arial" w:hAnsi="Arial" w:cs="Arial"/>
        </w:rPr>
        <w:t xml:space="preserve"> Table 4.1.1 summarizes the results of this analysis. We observe that when the counterfactual presents 7% of RE generation both private and social benefits NPV decrease. The reason for this is that the presence of RE generation in the counterfactual reduces its overall O&amp;M costs. Furthermore, this RE generation reduces the total amount of CO2 emissions. As a </w:t>
      </w:r>
      <w:r w:rsidR="005E3CA6">
        <w:rPr>
          <w:rFonts w:ascii="Arial" w:hAnsi="Arial" w:cs="Arial"/>
        </w:rPr>
        <w:t>consequence</w:t>
      </w:r>
      <w:r w:rsidR="003F2317">
        <w:rPr>
          <w:rFonts w:ascii="Arial" w:hAnsi="Arial" w:cs="Arial"/>
        </w:rPr>
        <w:t xml:space="preserve">, the </w:t>
      </w:r>
      <w:r w:rsidR="005E3CA6">
        <w:rPr>
          <w:rFonts w:ascii="Arial" w:hAnsi="Arial" w:cs="Arial"/>
        </w:rPr>
        <w:t>comparison</w:t>
      </w:r>
      <w:r w:rsidR="003F2317">
        <w:rPr>
          <w:rFonts w:ascii="Arial" w:hAnsi="Arial" w:cs="Arial"/>
        </w:rPr>
        <w:t xml:space="preserve"> with the scenario with project </w:t>
      </w:r>
      <w:r w:rsidR="005E3CA6">
        <w:rPr>
          <w:rFonts w:ascii="Arial" w:hAnsi="Arial" w:cs="Arial"/>
        </w:rPr>
        <w:t>yields</w:t>
      </w:r>
      <w:r w:rsidR="003F2317">
        <w:rPr>
          <w:rFonts w:ascii="Arial" w:hAnsi="Arial" w:cs="Arial"/>
        </w:rPr>
        <w:t xml:space="preserve"> smaller savings in costs and emissions reductions. Finally, it is shown that these effects are larger when we consider a counterfactual scenario in which 15% in new generation is </w:t>
      </w:r>
      <w:r w:rsidR="005E3CA6">
        <w:rPr>
          <w:rFonts w:ascii="Arial" w:hAnsi="Arial" w:cs="Arial"/>
        </w:rPr>
        <w:t>allocated to RE</w:t>
      </w:r>
      <w:r w:rsidR="003F2317">
        <w:rPr>
          <w:rFonts w:ascii="Arial" w:hAnsi="Arial" w:cs="Arial"/>
        </w:rPr>
        <w:t xml:space="preserve">. </w:t>
      </w:r>
    </w:p>
    <w:p w14:paraId="46E1740B" w14:textId="77777777" w:rsidR="005E3CA6" w:rsidRDefault="005E3CA6" w:rsidP="005E3CA6">
      <w:pPr>
        <w:pStyle w:val="ListParagraph"/>
        <w:tabs>
          <w:tab w:val="left" w:pos="810"/>
        </w:tabs>
        <w:spacing w:after="120"/>
        <w:contextualSpacing w:val="0"/>
        <w:jc w:val="both"/>
        <w:rPr>
          <w:rFonts w:ascii="Arial" w:hAnsi="Arial" w:cs="Arial"/>
        </w:rPr>
      </w:pPr>
    </w:p>
    <w:p w14:paraId="522D9719" w14:textId="2F0B72B8" w:rsidR="005E3CA6" w:rsidRPr="005E3CA6" w:rsidRDefault="005E3CA6" w:rsidP="005E3CA6">
      <w:pPr>
        <w:pStyle w:val="ListParagraph"/>
        <w:tabs>
          <w:tab w:val="left" w:pos="810"/>
        </w:tabs>
        <w:spacing w:after="120"/>
        <w:contextualSpacing w:val="0"/>
        <w:jc w:val="center"/>
        <w:rPr>
          <w:rFonts w:ascii="Arial" w:hAnsi="Arial" w:cs="Arial"/>
          <w:b/>
          <w:sz w:val="20"/>
          <w:szCs w:val="20"/>
        </w:rPr>
      </w:pPr>
      <w:r w:rsidRPr="005E3CA6">
        <w:rPr>
          <w:rFonts w:ascii="Arial" w:hAnsi="Arial" w:cs="Arial"/>
          <w:b/>
          <w:sz w:val="20"/>
          <w:szCs w:val="20"/>
        </w:rPr>
        <w:t>Table 4.1.1 Additional Scenarios</w:t>
      </w:r>
      <w:r>
        <w:rPr>
          <w:rFonts w:ascii="Arial" w:hAnsi="Arial" w:cs="Arial"/>
          <w:b/>
          <w:sz w:val="20"/>
          <w:szCs w:val="20"/>
        </w:rPr>
        <w:t xml:space="preserve"> Simulated</w:t>
      </w:r>
      <w:r w:rsidRPr="005E3CA6">
        <w:rPr>
          <w:rFonts w:ascii="Arial" w:hAnsi="Arial" w:cs="Arial"/>
          <w:b/>
          <w:sz w:val="20"/>
          <w:szCs w:val="20"/>
        </w:rPr>
        <w:t xml:space="preserve"> for the Counterfactual</w:t>
      </w:r>
    </w:p>
    <w:tbl>
      <w:tblPr>
        <w:tblStyle w:val="TableGrid"/>
        <w:tblW w:w="0" w:type="auto"/>
        <w:jc w:val="center"/>
        <w:tblInd w:w="360" w:type="dxa"/>
        <w:tblLook w:val="04A0" w:firstRow="1" w:lastRow="0" w:firstColumn="1" w:lastColumn="0" w:noHBand="0" w:noVBand="1"/>
      </w:tblPr>
      <w:tblGrid>
        <w:gridCol w:w="1180"/>
        <w:gridCol w:w="2135"/>
        <w:gridCol w:w="2229"/>
      </w:tblGrid>
      <w:tr w:rsidR="005E3CA6" w:rsidRPr="002516CF" w14:paraId="4FD21787" w14:textId="77777777" w:rsidTr="005E3CA6">
        <w:trPr>
          <w:trHeight w:val="327"/>
          <w:jc w:val="center"/>
        </w:trPr>
        <w:tc>
          <w:tcPr>
            <w:tcW w:w="0" w:type="auto"/>
            <w:shd w:val="clear" w:color="auto" w:fill="17365D" w:themeFill="text2" w:themeFillShade="BF"/>
            <w:vAlign w:val="center"/>
          </w:tcPr>
          <w:p w14:paraId="332952B3" w14:textId="77777777" w:rsidR="005E3CA6" w:rsidRPr="002516CF" w:rsidRDefault="005E3CA6" w:rsidP="005E3CA6">
            <w:pPr>
              <w:pStyle w:val="ListParagraph"/>
              <w:tabs>
                <w:tab w:val="left" w:pos="810"/>
              </w:tabs>
              <w:spacing w:after="120"/>
              <w:ind w:left="0"/>
              <w:contextualSpacing w:val="0"/>
              <w:jc w:val="center"/>
              <w:rPr>
                <w:rFonts w:ascii="Arial" w:hAnsi="Arial" w:cs="Arial"/>
                <w:color w:val="FFFFFF" w:themeColor="background1"/>
                <w:sz w:val="17"/>
                <w:szCs w:val="17"/>
              </w:rPr>
            </w:pPr>
          </w:p>
        </w:tc>
        <w:tc>
          <w:tcPr>
            <w:tcW w:w="0" w:type="auto"/>
            <w:shd w:val="clear" w:color="auto" w:fill="17365D" w:themeFill="text2" w:themeFillShade="BF"/>
            <w:vAlign w:val="center"/>
          </w:tcPr>
          <w:p w14:paraId="535664CF" w14:textId="61CBC8EA" w:rsidR="005E3CA6" w:rsidRPr="002516CF" w:rsidRDefault="005E3CA6" w:rsidP="005E3CA6">
            <w:pPr>
              <w:pStyle w:val="ListParagraph"/>
              <w:tabs>
                <w:tab w:val="left" w:pos="810"/>
              </w:tabs>
              <w:spacing w:after="120"/>
              <w:ind w:left="0"/>
              <w:contextualSpacing w:val="0"/>
              <w:jc w:val="center"/>
              <w:rPr>
                <w:rFonts w:ascii="Arial" w:hAnsi="Arial" w:cs="Arial"/>
                <w:color w:val="FFFFFF" w:themeColor="background1"/>
                <w:sz w:val="17"/>
                <w:szCs w:val="17"/>
              </w:rPr>
            </w:pPr>
            <w:r w:rsidRPr="002516CF">
              <w:rPr>
                <w:rFonts w:ascii="Arial" w:hAnsi="Arial" w:cs="Arial"/>
                <w:color w:val="FFFFFF" w:themeColor="background1"/>
                <w:sz w:val="17"/>
                <w:szCs w:val="17"/>
              </w:rPr>
              <w:t>7% of Renewable Energy</w:t>
            </w:r>
          </w:p>
        </w:tc>
        <w:tc>
          <w:tcPr>
            <w:tcW w:w="0" w:type="auto"/>
            <w:shd w:val="clear" w:color="auto" w:fill="17365D" w:themeFill="text2" w:themeFillShade="BF"/>
            <w:vAlign w:val="center"/>
          </w:tcPr>
          <w:p w14:paraId="3466337D" w14:textId="61E79671" w:rsidR="005E3CA6" w:rsidRPr="002516CF" w:rsidRDefault="005E3CA6" w:rsidP="005E3CA6">
            <w:pPr>
              <w:pStyle w:val="ListParagraph"/>
              <w:tabs>
                <w:tab w:val="left" w:pos="810"/>
              </w:tabs>
              <w:spacing w:after="120"/>
              <w:ind w:left="0"/>
              <w:contextualSpacing w:val="0"/>
              <w:jc w:val="center"/>
              <w:rPr>
                <w:rFonts w:ascii="Arial" w:hAnsi="Arial" w:cs="Arial"/>
                <w:color w:val="FFFFFF" w:themeColor="background1"/>
                <w:sz w:val="17"/>
                <w:szCs w:val="17"/>
              </w:rPr>
            </w:pPr>
            <w:r w:rsidRPr="002516CF">
              <w:rPr>
                <w:rFonts w:ascii="Arial" w:hAnsi="Arial" w:cs="Arial"/>
                <w:color w:val="FFFFFF" w:themeColor="background1"/>
                <w:sz w:val="17"/>
                <w:szCs w:val="17"/>
              </w:rPr>
              <w:t>15% of Renewable Energy</w:t>
            </w:r>
          </w:p>
        </w:tc>
      </w:tr>
      <w:tr w:rsidR="005E3CA6" w:rsidRPr="002516CF" w14:paraId="5AA61EB3" w14:textId="77777777" w:rsidTr="005E3CA6">
        <w:trPr>
          <w:trHeight w:val="327"/>
          <w:jc w:val="center"/>
        </w:trPr>
        <w:tc>
          <w:tcPr>
            <w:tcW w:w="0" w:type="auto"/>
            <w:vAlign w:val="center"/>
          </w:tcPr>
          <w:p w14:paraId="49DD7D12" w14:textId="0C835A4D" w:rsidR="005E3CA6" w:rsidRPr="002516CF" w:rsidRDefault="005E3CA6" w:rsidP="005E3CA6">
            <w:pPr>
              <w:pStyle w:val="ListParagraph"/>
              <w:tabs>
                <w:tab w:val="left" w:pos="810"/>
              </w:tabs>
              <w:spacing w:after="120"/>
              <w:ind w:left="0"/>
              <w:contextualSpacing w:val="0"/>
              <w:rPr>
                <w:rFonts w:ascii="Arial" w:hAnsi="Arial" w:cs="Arial"/>
                <w:b/>
                <w:sz w:val="17"/>
                <w:szCs w:val="17"/>
              </w:rPr>
            </w:pPr>
            <w:r w:rsidRPr="002516CF">
              <w:rPr>
                <w:rFonts w:ascii="Arial" w:hAnsi="Arial" w:cs="Arial"/>
                <w:b/>
                <w:sz w:val="17"/>
                <w:szCs w:val="17"/>
              </w:rPr>
              <w:t>Private NPV</w:t>
            </w:r>
          </w:p>
        </w:tc>
        <w:tc>
          <w:tcPr>
            <w:tcW w:w="0" w:type="auto"/>
            <w:vAlign w:val="center"/>
          </w:tcPr>
          <w:p w14:paraId="5113EC03" w14:textId="1840E293"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23.46</w:t>
            </w:r>
          </w:p>
        </w:tc>
        <w:tc>
          <w:tcPr>
            <w:tcW w:w="0" w:type="auto"/>
            <w:vAlign w:val="center"/>
          </w:tcPr>
          <w:p w14:paraId="04520C14" w14:textId="7E4C0ED1"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18.23</w:t>
            </w:r>
          </w:p>
        </w:tc>
      </w:tr>
      <w:tr w:rsidR="005E3CA6" w:rsidRPr="002516CF" w14:paraId="7C67FB68" w14:textId="77777777" w:rsidTr="005E3CA6">
        <w:trPr>
          <w:trHeight w:val="327"/>
          <w:jc w:val="center"/>
        </w:trPr>
        <w:tc>
          <w:tcPr>
            <w:tcW w:w="0" w:type="auto"/>
            <w:vAlign w:val="center"/>
          </w:tcPr>
          <w:p w14:paraId="31F4A526" w14:textId="262BE902" w:rsidR="005E3CA6" w:rsidRPr="002516CF" w:rsidRDefault="005E3CA6" w:rsidP="005E3CA6">
            <w:pPr>
              <w:pStyle w:val="ListParagraph"/>
              <w:tabs>
                <w:tab w:val="left" w:pos="810"/>
              </w:tabs>
              <w:spacing w:after="120"/>
              <w:ind w:left="0"/>
              <w:contextualSpacing w:val="0"/>
              <w:rPr>
                <w:rFonts w:ascii="Arial" w:hAnsi="Arial" w:cs="Arial"/>
                <w:b/>
                <w:sz w:val="17"/>
                <w:szCs w:val="17"/>
              </w:rPr>
            </w:pPr>
            <w:r w:rsidRPr="002516CF">
              <w:rPr>
                <w:rFonts w:ascii="Arial" w:hAnsi="Arial" w:cs="Arial"/>
                <w:b/>
                <w:sz w:val="17"/>
                <w:szCs w:val="17"/>
              </w:rPr>
              <w:t>Social NPV</w:t>
            </w:r>
          </w:p>
        </w:tc>
        <w:tc>
          <w:tcPr>
            <w:tcW w:w="0" w:type="auto"/>
            <w:vAlign w:val="center"/>
          </w:tcPr>
          <w:p w14:paraId="117080C5" w14:textId="0C40CF7D"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4.76</w:t>
            </w:r>
          </w:p>
        </w:tc>
        <w:tc>
          <w:tcPr>
            <w:tcW w:w="0" w:type="auto"/>
            <w:vAlign w:val="center"/>
          </w:tcPr>
          <w:p w14:paraId="2408B081" w14:textId="4DBD9D65"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4.16</w:t>
            </w:r>
          </w:p>
        </w:tc>
      </w:tr>
      <w:tr w:rsidR="005E3CA6" w:rsidRPr="002516CF" w14:paraId="6289F6BE" w14:textId="77777777" w:rsidTr="005E3CA6">
        <w:trPr>
          <w:trHeight w:val="327"/>
          <w:jc w:val="center"/>
        </w:trPr>
        <w:tc>
          <w:tcPr>
            <w:tcW w:w="0" w:type="auto"/>
            <w:vAlign w:val="center"/>
          </w:tcPr>
          <w:p w14:paraId="3C24CDFA" w14:textId="7D96AB91" w:rsidR="005E3CA6" w:rsidRPr="002516CF" w:rsidRDefault="005E3CA6" w:rsidP="005E3CA6">
            <w:pPr>
              <w:pStyle w:val="ListParagraph"/>
              <w:tabs>
                <w:tab w:val="left" w:pos="810"/>
              </w:tabs>
              <w:spacing w:after="120"/>
              <w:ind w:left="0"/>
              <w:contextualSpacing w:val="0"/>
              <w:rPr>
                <w:rFonts w:ascii="Arial" w:hAnsi="Arial" w:cs="Arial"/>
                <w:b/>
                <w:sz w:val="17"/>
                <w:szCs w:val="17"/>
              </w:rPr>
            </w:pPr>
            <w:r w:rsidRPr="002516CF">
              <w:rPr>
                <w:rFonts w:ascii="Arial" w:hAnsi="Arial" w:cs="Arial"/>
                <w:b/>
                <w:sz w:val="17"/>
                <w:szCs w:val="17"/>
              </w:rPr>
              <w:t>Total NPV</w:t>
            </w:r>
          </w:p>
        </w:tc>
        <w:tc>
          <w:tcPr>
            <w:tcW w:w="0" w:type="auto"/>
            <w:vAlign w:val="center"/>
          </w:tcPr>
          <w:p w14:paraId="6AFEB9C6" w14:textId="2D6496B9"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28.22</w:t>
            </w:r>
          </w:p>
        </w:tc>
        <w:tc>
          <w:tcPr>
            <w:tcW w:w="0" w:type="auto"/>
            <w:vAlign w:val="center"/>
          </w:tcPr>
          <w:p w14:paraId="4929C57C" w14:textId="06F70669" w:rsidR="005E3CA6" w:rsidRPr="002516CF" w:rsidRDefault="005E3CA6" w:rsidP="005E3CA6">
            <w:pPr>
              <w:pStyle w:val="ListParagraph"/>
              <w:tabs>
                <w:tab w:val="left" w:pos="810"/>
              </w:tabs>
              <w:spacing w:after="120"/>
              <w:ind w:left="0"/>
              <w:contextualSpacing w:val="0"/>
              <w:jc w:val="center"/>
              <w:rPr>
                <w:rFonts w:ascii="Arial" w:hAnsi="Arial" w:cs="Arial"/>
                <w:sz w:val="17"/>
                <w:szCs w:val="17"/>
              </w:rPr>
            </w:pPr>
            <w:r w:rsidRPr="002516CF">
              <w:rPr>
                <w:rFonts w:ascii="Arial" w:hAnsi="Arial" w:cs="Arial"/>
                <w:sz w:val="17"/>
                <w:szCs w:val="17"/>
              </w:rPr>
              <w:t>22.38</w:t>
            </w:r>
          </w:p>
        </w:tc>
      </w:tr>
    </w:tbl>
    <w:p w14:paraId="4A26FF0C" w14:textId="77777777" w:rsidR="005E3CA6" w:rsidRDefault="005E3CA6" w:rsidP="005E3CA6">
      <w:pPr>
        <w:pStyle w:val="ListParagraph"/>
        <w:tabs>
          <w:tab w:val="left" w:pos="810"/>
        </w:tabs>
        <w:spacing w:after="120"/>
        <w:ind w:left="360"/>
        <w:contextualSpacing w:val="0"/>
        <w:jc w:val="both"/>
        <w:rPr>
          <w:rFonts w:ascii="Arial" w:hAnsi="Arial" w:cs="Arial"/>
        </w:rPr>
      </w:pPr>
    </w:p>
    <w:p w14:paraId="2564C1BA" w14:textId="77777777" w:rsidR="002C095A" w:rsidRDefault="002C095A" w:rsidP="00E01FC6">
      <w:pPr>
        <w:pStyle w:val="ListParagraph"/>
        <w:tabs>
          <w:tab w:val="left" w:pos="810"/>
        </w:tabs>
        <w:spacing w:after="120"/>
        <w:contextualSpacing w:val="0"/>
        <w:jc w:val="both"/>
        <w:rPr>
          <w:rFonts w:ascii="Arial" w:hAnsi="Arial" w:cs="Arial"/>
        </w:rPr>
      </w:pPr>
    </w:p>
    <w:p w14:paraId="473FAB5F" w14:textId="77777777" w:rsidR="005E3CA6" w:rsidRDefault="005E3CA6" w:rsidP="00E01FC6">
      <w:pPr>
        <w:pStyle w:val="ListParagraph"/>
        <w:tabs>
          <w:tab w:val="left" w:pos="810"/>
        </w:tabs>
        <w:spacing w:after="120"/>
        <w:contextualSpacing w:val="0"/>
        <w:jc w:val="both"/>
        <w:rPr>
          <w:rFonts w:ascii="Arial" w:hAnsi="Arial" w:cs="Arial"/>
        </w:rPr>
      </w:pPr>
    </w:p>
    <w:p w14:paraId="7898F0B2" w14:textId="77777777" w:rsidR="00207A95" w:rsidRDefault="00207A95" w:rsidP="00E01FC6">
      <w:pPr>
        <w:pStyle w:val="ListParagraph"/>
        <w:tabs>
          <w:tab w:val="left" w:pos="810"/>
        </w:tabs>
        <w:spacing w:after="120"/>
        <w:contextualSpacing w:val="0"/>
        <w:jc w:val="both"/>
        <w:rPr>
          <w:rFonts w:ascii="Arial" w:hAnsi="Arial" w:cs="Arial"/>
        </w:rPr>
      </w:pPr>
    </w:p>
    <w:p w14:paraId="1E56C4F7" w14:textId="77777777" w:rsidR="00207A95" w:rsidRDefault="00207A95" w:rsidP="00E01FC6">
      <w:pPr>
        <w:pStyle w:val="ListParagraph"/>
        <w:tabs>
          <w:tab w:val="left" w:pos="810"/>
        </w:tabs>
        <w:spacing w:after="120"/>
        <w:contextualSpacing w:val="0"/>
        <w:jc w:val="both"/>
        <w:rPr>
          <w:rFonts w:ascii="Arial" w:hAnsi="Arial" w:cs="Arial"/>
        </w:rPr>
      </w:pPr>
    </w:p>
    <w:p w14:paraId="01CF0B94" w14:textId="77777777" w:rsidR="00207A95" w:rsidRDefault="00207A95" w:rsidP="00E01FC6">
      <w:pPr>
        <w:pStyle w:val="ListParagraph"/>
        <w:tabs>
          <w:tab w:val="left" w:pos="810"/>
        </w:tabs>
        <w:spacing w:after="120"/>
        <w:contextualSpacing w:val="0"/>
        <w:jc w:val="both"/>
        <w:rPr>
          <w:rFonts w:ascii="Arial" w:hAnsi="Arial" w:cs="Arial"/>
        </w:rPr>
      </w:pPr>
    </w:p>
    <w:p w14:paraId="7EFBEA0E" w14:textId="77777777" w:rsidR="00207A95" w:rsidRDefault="00207A95" w:rsidP="00E01FC6">
      <w:pPr>
        <w:pStyle w:val="ListParagraph"/>
        <w:tabs>
          <w:tab w:val="left" w:pos="810"/>
        </w:tabs>
        <w:spacing w:after="120"/>
        <w:contextualSpacing w:val="0"/>
        <w:jc w:val="both"/>
        <w:rPr>
          <w:rFonts w:ascii="Arial" w:hAnsi="Arial" w:cs="Arial"/>
        </w:rPr>
      </w:pPr>
    </w:p>
    <w:p w14:paraId="214F0B42" w14:textId="77777777" w:rsidR="00207A95" w:rsidRDefault="00207A95" w:rsidP="00E01FC6">
      <w:pPr>
        <w:pStyle w:val="ListParagraph"/>
        <w:tabs>
          <w:tab w:val="left" w:pos="810"/>
        </w:tabs>
        <w:spacing w:after="120"/>
        <w:contextualSpacing w:val="0"/>
        <w:jc w:val="both"/>
        <w:rPr>
          <w:rFonts w:ascii="Arial" w:hAnsi="Arial" w:cs="Arial"/>
        </w:rPr>
      </w:pPr>
    </w:p>
    <w:p w14:paraId="706FAA3B" w14:textId="77777777" w:rsidR="00207A95" w:rsidRDefault="00207A95" w:rsidP="00E01FC6">
      <w:pPr>
        <w:pStyle w:val="ListParagraph"/>
        <w:tabs>
          <w:tab w:val="left" w:pos="810"/>
        </w:tabs>
        <w:spacing w:after="120"/>
        <w:contextualSpacing w:val="0"/>
        <w:jc w:val="both"/>
        <w:rPr>
          <w:rFonts w:ascii="Arial" w:hAnsi="Arial" w:cs="Arial"/>
        </w:rPr>
      </w:pPr>
    </w:p>
    <w:p w14:paraId="06E28FAD" w14:textId="77777777" w:rsidR="00207A95" w:rsidRDefault="00207A95" w:rsidP="00E01FC6">
      <w:pPr>
        <w:pStyle w:val="ListParagraph"/>
        <w:tabs>
          <w:tab w:val="left" w:pos="810"/>
        </w:tabs>
        <w:spacing w:after="120"/>
        <w:contextualSpacing w:val="0"/>
        <w:jc w:val="both"/>
        <w:rPr>
          <w:rFonts w:ascii="Arial" w:hAnsi="Arial" w:cs="Arial"/>
        </w:rPr>
      </w:pPr>
    </w:p>
    <w:p w14:paraId="3CAE8516" w14:textId="77777777" w:rsidR="00207A95" w:rsidRPr="00F26752" w:rsidRDefault="00207A95" w:rsidP="00E01FC6">
      <w:pPr>
        <w:pStyle w:val="ListParagraph"/>
        <w:tabs>
          <w:tab w:val="left" w:pos="810"/>
        </w:tabs>
        <w:spacing w:after="120"/>
        <w:contextualSpacing w:val="0"/>
        <w:jc w:val="both"/>
        <w:rPr>
          <w:rFonts w:ascii="Arial" w:hAnsi="Arial" w:cs="Arial"/>
        </w:rPr>
      </w:pPr>
    </w:p>
    <w:p w14:paraId="2568D5A9" w14:textId="77777777" w:rsidR="003B626C" w:rsidRPr="00F26752" w:rsidRDefault="003B626C" w:rsidP="00CB1188">
      <w:pPr>
        <w:pStyle w:val="ListParagraph"/>
        <w:numPr>
          <w:ilvl w:val="0"/>
          <w:numId w:val="5"/>
        </w:numPr>
        <w:tabs>
          <w:tab w:val="left" w:pos="810"/>
        </w:tabs>
        <w:spacing w:after="120" w:line="240" w:lineRule="auto"/>
        <w:jc w:val="center"/>
        <w:rPr>
          <w:rFonts w:ascii="Arial" w:hAnsi="Arial" w:cs="Arial"/>
          <w:b/>
          <w:smallCaps/>
          <w:sz w:val="24"/>
        </w:rPr>
      </w:pPr>
      <w:r w:rsidRPr="00F26752">
        <w:rPr>
          <w:rFonts w:ascii="Arial" w:hAnsi="Arial" w:cs="Arial"/>
          <w:b/>
          <w:smallCaps/>
          <w:sz w:val="24"/>
        </w:rPr>
        <w:lastRenderedPageBreak/>
        <w:t>Conclusions</w:t>
      </w:r>
    </w:p>
    <w:p w14:paraId="41D98D1C" w14:textId="77777777" w:rsidR="008A71FA" w:rsidRPr="00F26752" w:rsidRDefault="008A71FA" w:rsidP="00EE5C4D">
      <w:pPr>
        <w:pStyle w:val="ListParagraph"/>
        <w:tabs>
          <w:tab w:val="left" w:pos="810"/>
        </w:tabs>
        <w:spacing w:after="120"/>
        <w:ind w:left="360"/>
        <w:jc w:val="both"/>
        <w:rPr>
          <w:rFonts w:ascii="Arial" w:hAnsi="Arial" w:cs="Arial"/>
          <w:b/>
        </w:rPr>
      </w:pPr>
    </w:p>
    <w:p w14:paraId="52074768" w14:textId="77777777" w:rsidR="003B626C" w:rsidRPr="00F26752" w:rsidRDefault="008A71F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The cost benefit analysis shows how the discounted</w:t>
      </w:r>
      <w:r w:rsidR="0040461F" w:rsidRPr="00F26752">
        <w:rPr>
          <w:rFonts w:ascii="Arial" w:hAnsi="Arial" w:cs="Arial"/>
        </w:rPr>
        <w:t xml:space="preserve"> net</w:t>
      </w:r>
      <w:r w:rsidRPr="00F26752">
        <w:rPr>
          <w:rFonts w:ascii="Arial" w:hAnsi="Arial" w:cs="Arial"/>
        </w:rPr>
        <w:t xml:space="preserve"> benefits </w:t>
      </w:r>
      <w:r w:rsidR="0040461F" w:rsidRPr="00F26752">
        <w:rPr>
          <w:rFonts w:ascii="Arial" w:hAnsi="Arial" w:cs="Arial"/>
        </w:rPr>
        <w:t xml:space="preserve">of the </w:t>
      </w:r>
      <w:r w:rsidR="00E01FC6">
        <w:rPr>
          <w:rFonts w:ascii="Arial" w:hAnsi="Arial" w:cs="Arial"/>
        </w:rPr>
        <w:t>program is composed by</w:t>
      </w:r>
      <w:r w:rsidR="00DD6E5A">
        <w:rPr>
          <w:rFonts w:ascii="Arial" w:hAnsi="Arial" w:cs="Arial"/>
        </w:rPr>
        <w:t xml:space="preserve"> significant net present values for the private as well as for the environmental component of the program.</w:t>
      </w:r>
    </w:p>
    <w:p w14:paraId="7C4B519F" w14:textId="77777777" w:rsidR="00FF3BDA" w:rsidRPr="00F26752" w:rsidRDefault="00FF3BD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With regards to the </w:t>
      </w:r>
      <w:r w:rsidR="00DD6E5A">
        <w:rPr>
          <w:rFonts w:ascii="Arial" w:hAnsi="Arial" w:cs="Arial"/>
        </w:rPr>
        <w:t xml:space="preserve">private </w:t>
      </w:r>
      <w:r w:rsidRPr="00F26752">
        <w:rPr>
          <w:rFonts w:ascii="Arial" w:hAnsi="Arial" w:cs="Arial"/>
        </w:rPr>
        <w:t xml:space="preserve">benefits of the </w:t>
      </w:r>
      <w:r w:rsidR="00DD6E5A">
        <w:rPr>
          <w:rFonts w:ascii="Arial" w:hAnsi="Arial" w:cs="Arial"/>
        </w:rPr>
        <w:t>program</w:t>
      </w:r>
      <w:r w:rsidRPr="00F26752">
        <w:rPr>
          <w:rFonts w:ascii="Arial" w:hAnsi="Arial" w:cs="Arial"/>
        </w:rPr>
        <w:t xml:space="preserve">, the NPV of </w:t>
      </w:r>
      <w:r w:rsidR="000B073C">
        <w:rPr>
          <w:rFonts w:ascii="Arial" w:hAnsi="Arial" w:cs="Arial"/>
        </w:rPr>
        <w:t>costs savings is equal to 27.98</w:t>
      </w:r>
      <w:r w:rsidR="005210E6" w:rsidRPr="00F26752">
        <w:rPr>
          <w:rFonts w:ascii="Arial" w:hAnsi="Arial" w:cs="Arial"/>
        </w:rPr>
        <w:t xml:space="preserve"> </w:t>
      </w:r>
      <w:r w:rsidR="00F26752" w:rsidRPr="00F26752">
        <w:rPr>
          <w:rFonts w:ascii="Arial" w:hAnsi="Arial" w:cs="Arial"/>
        </w:rPr>
        <w:t>million</w:t>
      </w:r>
      <w:r w:rsidRPr="00F26752">
        <w:rPr>
          <w:rFonts w:ascii="Arial" w:hAnsi="Arial" w:cs="Arial"/>
        </w:rPr>
        <w:t>.</w:t>
      </w:r>
      <w:r w:rsidR="005210E6" w:rsidRPr="00F26752">
        <w:rPr>
          <w:rFonts w:ascii="Arial" w:hAnsi="Arial" w:cs="Arial"/>
        </w:rPr>
        <w:t xml:space="preserve"> </w:t>
      </w:r>
      <w:r w:rsidR="00DD6E5A">
        <w:rPr>
          <w:rFonts w:ascii="Arial" w:hAnsi="Arial" w:cs="Arial"/>
        </w:rPr>
        <w:t>On the other hand, the environmental benefit of the program is valued in USD 5.29 million</w:t>
      </w:r>
      <w:r w:rsidR="00EB59E0" w:rsidRPr="00F26752">
        <w:rPr>
          <w:rFonts w:ascii="Arial" w:hAnsi="Arial" w:cs="Arial"/>
        </w:rPr>
        <w:t xml:space="preserve">. </w:t>
      </w:r>
      <w:r w:rsidRPr="00F26752">
        <w:rPr>
          <w:rFonts w:ascii="Arial" w:hAnsi="Arial" w:cs="Arial"/>
        </w:rPr>
        <w:t xml:space="preserve">In addition, the sensitivity analysis shows </w:t>
      </w:r>
      <w:r w:rsidR="00EB59E0" w:rsidRPr="00F26752">
        <w:rPr>
          <w:rFonts w:ascii="Arial" w:hAnsi="Arial" w:cs="Arial"/>
        </w:rPr>
        <w:t xml:space="preserve">the importance of the </w:t>
      </w:r>
      <w:r w:rsidR="00DD6E5A">
        <w:rPr>
          <w:rFonts w:ascii="Arial" w:hAnsi="Arial" w:cs="Arial"/>
        </w:rPr>
        <w:t xml:space="preserve">low O&amp;M costs for RE </w:t>
      </w:r>
      <w:r w:rsidR="00EB59E0" w:rsidRPr="00F26752">
        <w:rPr>
          <w:rFonts w:ascii="Arial" w:hAnsi="Arial" w:cs="Arial"/>
        </w:rPr>
        <w:t xml:space="preserve">plants and the sensitivity to the </w:t>
      </w:r>
      <w:r w:rsidR="00DD6E5A">
        <w:rPr>
          <w:rFonts w:ascii="Arial" w:hAnsi="Arial" w:cs="Arial"/>
        </w:rPr>
        <w:t xml:space="preserve">participation of </w:t>
      </w:r>
      <w:r w:rsidR="000B073C">
        <w:rPr>
          <w:rFonts w:ascii="Arial" w:hAnsi="Arial" w:cs="Arial"/>
        </w:rPr>
        <w:t>hybrid plants in the RE composite</w:t>
      </w:r>
      <w:r w:rsidR="00E01FC6" w:rsidRPr="00F26752">
        <w:rPr>
          <w:rFonts w:ascii="Arial" w:hAnsi="Arial" w:cs="Arial"/>
        </w:rPr>
        <w:t>.</w:t>
      </w:r>
    </w:p>
    <w:p w14:paraId="70872FBA" w14:textId="77777777" w:rsidR="00FF3BDA" w:rsidRPr="00F26752" w:rsidRDefault="00FF3BD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There </w:t>
      </w:r>
      <w:r w:rsidR="00DD6E5A">
        <w:rPr>
          <w:rFonts w:ascii="Arial" w:hAnsi="Arial" w:cs="Arial"/>
        </w:rPr>
        <w:t>is an expected demonstration effect that has not been considered for this analysis</w:t>
      </w:r>
      <w:r w:rsidRPr="00F26752">
        <w:rPr>
          <w:rFonts w:ascii="Arial" w:hAnsi="Arial" w:cs="Arial"/>
        </w:rPr>
        <w:t xml:space="preserve">, which </w:t>
      </w:r>
      <w:r w:rsidR="001417AF" w:rsidRPr="00F26752">
        <w:rPr>
          <w:rFonts w:ascii="Arial" w:hAnsi="Arial" w:cs="Arial"/>
        </w:rPr>
        <w:t>has</w:t>
      </w:r>
      <w:r w:rsidRPr="00F26752">
        <w:rPr>
          <w:rFonts w:ascii="Arial" w:hAnsi="Arial" w:cs="Arial"/>
        </w:rPr>
        <w:t xml:space="preserve"> likely </w:t>
      </w:r>
      <w:r w:rsidR="001417AF" w:rsidRPr="00F26752">
        <w:rPr>
          <w:rFonts w:ascii="Arial" w:hAnsi="Arial" w:cs="Arial"/>
        </w:rPr>
        <w:t xml:space="preserve">underestimated </w:t>
      </w:r>
      <w:r w:rsidRPr="00F26752">
        <w:rPr>
          <w:rFonts w:ascii="Arial" w:hAnsi="Arial" w:cs="Arial"/>
        </w:rPr>
        <w:t>the benefits of the program.</w:t>
      </w:r>
    </w:p>
    <w:p w14:paraId="0D3EF33A" w14:textId="77777777" w:rsidR="00FF3BDA" w:rsidRPr="00F26752" w:rsidRDefault="00FF3BDA" w:rsidP="00EE5C4D">
      <w:pPr>
        <w:pStyle w:val="ListParagraph"/>
        <w:numPr>
          <w:ilvl w:val="1"/>
          <w:numId w:val="5"/>
        </w:numPr>
        <w:tabs>
          <w:tab w:val="left" w:pos="810"/>
        </w:tabs>
        <w:spacing w:after="120"/>
        <w:contextualSpacing w:val="0"/>
        <w:jc w:val="both"/>
        <w:rPr>
          <w:rFonts w:ascii="Arial" w:hAnsi="Arial" w:cs="Arial"/>
        </w:rPr>
      </w:pPr>
      <w:r w:rsidRPr="00F26752">
        <w:rPr>
          <w:rFonts w:ascii="Arial" w:hAnsi="Arial" w:cs="Arial"/>
        </w:rPr>
        <w:t xml:space="preserve">In general, the project team has used plausible and contrasted assumptions, with aims of a conservative approach for the analysis. Based on this, the project team recommends the Bank </w:t>
      </w:r>
      <w:r w:rsidR="001417AF" w:rsidRPr="00F26752">
        <w:rPr>
          <w:rFonts w:ascii="Arial" w:hAnsi="Arial" w:cs="Arial"/>
        </w:rPr>
        <w:t>to approve</w:t>
      </w:r>
      <w:r w:rsidRPr="00F26752">
        <w:rPr>
          <w:rFonts w:ascii="Arial" w:hAnsi="Arial" w:cs="Arial"/>
        </w:rPr>
        <w:t xml:space="preserve"> the financing of this program.</w:t>
      </w:r>
    </w:p>
    <w:p w14:paraId="4305A6E7" w14:textId="77777777" w:rsidR="00074463" w:rsidRDefault="00074463" w:rsidP="00732A44">
      <w:pPr>
        <w:tabs>
          <w:tab w:val="left" w:pos="810"/>
        </w:tabs>
        <w:spacing w:after="120" w:line="240" w:lineRule="auto"/>
        <w:rPr>
          <w:rFonts w:ascii="Arial" w:hAnsi="Arial" w:cs="Arial"/>
        </w:rPr>
      </w:pPr>
    </w:p>
    <w:p w14:paraId="4AE0B38D" w14:textId="77777777" w:rsidR="00074463" w:rsidRDefault="00074463" w:rsidP="00732A44">
      <w:pPr>
        <w:tabs>
          <w:tab w:val="left" w:pos="810"/>
        </w:tabs>
        <w:spacing w:after="120" w:line="240" w:lineRule="auto"/>
        <w:rPr>
          <w:rFonts w:ascii="Arial" w:hAnsi="Arial" w:cs="Arial"/>
        </w:rPr>
        <w:sectPr w:rsidR="00074463" w:rsidSect="00470EC3">
          <w:pgSz w:w="12240" w:h="15840"/>
          <w:pgMar w:top="1440" w:right="1800" w:bottom="1440" w:left="1800" w:header="720" w:footer="720" w:gutter="0"/>
          <w:cols w:space="720"/>
          <w:docGrid w:linePitch="360"/>
        </w:sectPr>
      </w:pPr>
    </w:p>
    <w:p w14:paraId="2954F494" w14:textId="77777777" w:rsidR="00074463" w:rsidRDefault="008238DB" w:rsidP="008238DB">
      <w:pPr>
        <w:tabs>
          <w:tab w:val="left" w:pos="810"/>
        </w:tabs>
        <w:spacing w:after="120" w:line="240" w:lineRule="auto"/>
        <w:jc w:val="center"/>
        <w:rPr>
          <w:rFonts w:ascii="Arial" w:hAnsi="Arial" w:cs="Arial"/>
          <w:b/>
          <w:smallCaps/>
          <w:sz w:val="24"/>
        </w:rPr>
      </w:pPr>
      <w:r w:rsidRPr="008238DB">
        <w:rPr>
          <w:rFonts w:ascii="Arial" w:hAnsi="Arial" w:cs="Arial"/>
          <w:b/>
          <w:smallCaps/>
          <w:sz w:val="24"/>
        </w:rPr>
        <w:lastRenderedPageBreak/>
        <w:t>Annex 1. Detailed Annual Cash Flows – Cost-Benefit Analysis</w:t>
      </w:r>
    </w:p>
    <w:p w14:paraId="3B3788C3" w14:textId="77777777" w:rsidR="001E4ABC" w:rsidRPr="008238DB" w:rsidRDefault="001E4ABC" w:rsidP="001E4ABC">
      <w:pPr>
        <w:tabs>
          <w:tab w:val="left" w:pos="810"/>
        </w:tabs>
        <w:spacing w:after="120" w:line="240" w:lineRule="auto"/>
        <w:rPr>
          <w:rFonts w:ascii="Arial" w:hAnsi="Arial" w:cs="Arial"/>
          <w:b/>
          <w:smallCaps/>
          <w:sz w:val="24"/>
        </w:rPr>
      </w:pPr>
      <w:r w:rsidRPr="001E4ABC">
        <w:rPr>
          <w:noProof/>
        </w:rPr>
        <w:drawing>
          <wp:inline distT="0" distB="0" distL="0" distR="0" wp14:anchorId="5C86871E" wp14:editId="2FFA616A">
            <wp:extent cx="8574839" cy="190122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4839" cy="1901227"/>
                    </a:xfrm>
                    <a:prstGeom prst="rect">
                      <a:avLst/>
                    </a:prstGeom>
                    <a:noFill/>
                    <a:ln>
                      <a:noFill/>
                    </a:ln>
                  </pic:spPr>
                </pic:pic>
              </a:graphicData>
            </a:graphic>
          </wp:inline>
        </w:drawing>
      </w:r>
    </w:p>
    <w:sectPr w:rsidR="001E4ABC" w:rsidRPr="008238DB" w:rsidSect="00BB60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93CDC" w14:textId="77777777" w:rsidR="00A819D4" w:rsidRDefault="00A819D4" w:rsidP="00A1682B">
      <w:pPr>
        <w:spacing w:after="0" w:line="240" w:lineRule="auto"/>
      </w:pPr>
      <w:r>
        <w:separator/>
      </w:r>
    </w:p>
  </w:endnote>
  <w:endnote w:type="continuationSeparator" w:id="0">
    <w:p w14:paraId="639EF67C" w14:textId="77777777" w:rsidR="00A819D4" w:rsidRDefault="00A819D4" w:rsidP="00A16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499B8A" w14:textId="77777777" w:rsidR="00A819D4" w:rsidRDefault="00A819D4" w:rsidP="00A1682B">
      <w:pPr>
        <w:spacing w:after="0" w:line="240" w:lineRule="auto"/>
      </w:pPr>
      <w:r>
        <w:separator/>
      </w:r>
    </w:p>
  </w:footnote>
  <w:footnote w:type="continuationSeparator" w:id="0">
    <w:p w14:paraId="43906F13" w14:textId="77777777" w:rsidR="00A819D4" w:rsidRDefault="00A819D4" w:rsidP="00A1682B">
      <w:pPr>
        <w:spacing w:after="0" w:line="240" w:lineRule="auto"/>
      </w:pPr>
      <w:r>
        <w:continuationSeparator/>
      </w:r>
    </w:p>
  </w:footnote>
  <w:footnote w:id="1">
    <w:p w14:paraId="1D6AEC95" w14:textId="77777777" w:rsidR="00A819D4" w:rsidRPr="00B93BEB" w:rsidRDefault="00A819D4" w:rsidP="00733014">
      <w:pPr>
        <w:pStyle w:val="FootnoteText"/>
        <w:spacing w:after="0"/>
        <w:ind w:left="270" w:hanging="270"/>
        <w:rPr>
          <w:rFonts w:ascii="Arial" w:hAnsi="Arial" w:cs="Arial"/>
          <w:sz w:val="18"/>
          <w:szCs w:val="18"/>
        </w:rPr>
      </w:pPr>
      <w:r w:rsidRPr="00B93BEB">
        <w:rPr>
          <w:rStyle w:val="FootnoteReference"/>
          <w:rFonts w:ascii="Arial" w:hAnsi="Arial" w:cs="Arial"/>
          <w:sz w:val="18"/>
          <w:szCs w:val="18"/>
        </w:rPr>
        <w:footnoteRef/>
      </w:r>
      <w:r w:rsidRPr="00B93BEB">
        <w:rPr>
          <w:rFonts w:ascii="Arial" w:hAnsi="Arial" w:cs="Arial"/>
          <w:sz w:val="18"/>
          <w:szCs w:val="18"/>
        </w:rPr>
        <w:t xml:space="preserve"> </w:t>
      </w:r>
      <w:r w:rsidRPr="00B93BEB">
        <w:rPr>
          <w:rFonts w:ascii="Arial" w:hAnsi="Arial" w:cs="Arial"/>
          <w:sz w:val="18"/>
          <w:szCs w:val="18"/>
        </w:rPr>
        <w:tab/>
        <w:t xml:space="preserve">The </w:t>
      </w:r>
      <w:hyperlink r:id="rId1" w:history="1">
        <w:r w:rsidRPr="00B93BEB">
          <w:rPr>
            <w:rStyle w:val="Hyperlink"/>
            <w:rFonts w:ascii="Arial" w:hAnsi="Arial" w:cs="Arial"/>
            <w:sz w:val="18"/>
            <w:szCs w:val="18"/>
          </w:rPr>
          <w:t>CREG</w:t>
        </w:r>
      </w:hyperlink>
      <w:r w:rsidRPr="00B93BEB">
        <w:rPr>
          <w:rFonts w:ascii="Arial" w:hAnsi="Arial" w:cs="Arial"/>
          <w:sz w:val="18"/>
          <w:szCs w:val="18"/>
        </w:rPr>
        <w:t xml:space="preserve"> determines costs of service delivery for the operators, taking into account specific localities, energy losses, capacity and availability of installed plants, energy demand, and minimum costs to cover customer needs.  </w:t>
      </w:r>
    </w:p>
  </w:footnote>
  <w:footnote w:id="2">
    <w:p w14:paraId="2A02C687" w14:textId="77777777" w:rsidR="00A819D4" w:rsidRPr="00B93BEB" w:rsidRDefault="00A819D4" w:rsidP="00733014">
      <w:pPr>
        <w:pStyle w:val="FootnoteText"/>
        <w:spacing w:after="0"/>
        <w:ind w:left="270" w:hanging="270"/>
        <w:rPr>
          <w:rFonts w:ascii="Arial" w:hAnsi="Arial" w:cs="Arial"/>
          <w:sz w:val="18"/>
          <w:szCs w:val="18"/>
        </w:rPr>
      </w:pPr>
      <w:r w:rsidRPr="00B93BEB">
        <w:rPr>
          <w:rFonts w:ascii="Arial" w:hAnsi="Arial" w:cs="Arial"/>
          <w:sz w:val="18"/>
          <w:szCs w:val="18"/>
        </w:rPr>
        <w:footnoteRef/>
      </w:r>
      <w:r w:rsidRPr="00B93BEB">
        <w:rPr>
          <w:rFonts w:ascii="Arial" w:hAnsi="Arial" w:cs="Arial"/>
          <w:sz w:val="18"/>
          <w:szCs w:val="18"/>
        </w:rPr>
        <w:tab/>
      </w:r>
      <w:proofErr w:type="gramStart"/>
      <w:r w:rsidRPr="00B93BEB">
        <w:rPr>
          <w:rFonts w:ascii="Arial" w:hAnsi="Arial" w:cs="Arial"/>
          <w:sz w:val="18"/>
          <w:szCs w:val="18"/>
        </w:rPr>
        <w:t>Ministry of Mines and Energy, 2015.</w:t>
      </w:r>
      <w:proofErr w:type="gramEnd"/>
      <w:r w:rsidRPr="00B93BEB">
        <w:rPr>
          <w:rFonts w:ascii="Arial" w:hAnsi="Arial" w:cs="Arial"/>
          <w:sz w:val="18"/>
          <w:szCs w:val="18"/>
        </w:rPr>
        <w:t xml:space="preserve"> </w:t>
      </w:r>
      <w:hyperlink r:id="rId2" w:history="1">
        <w:r w:rsidRPr="00B93BEB">
          <w:rPr>
            <w:rStyle w:val="Hyperlink"/>
            <w:rFonts w:ascii="Arial" w:hAnsi="Arial" w:cs="Arial"/>
            <w:sz w:val="18"/>
            <w:szCs w:val="18"/>
          </w:rPr>
          <w:t>Statistics Report 2008-2012</w:t>
        </w:r>
      </w:hyperlink>
      <w:r w:rsidRPr="00B93BEB">
        <w:rPr>
          <w:rFonts w:ascii="Arial" w:hAnsi="Arial" w:cs="Arial"/>
          <w:sz w:val="18"/>
          <w:szCs w:val="18"/>
        </w:rPr>
        <w:t xml:space="preserve">. </w:t>
      </w:r>
    </w:p>
  </w:footnote>
  <w:footnote w:id="3">
    <w:p w14:paraId="4786FDF0" w14:textId="77777777" w:rsidR="00A819D4" w:rsidRPr="00207A95" w:rsidRDefault="00A819D4" w:rsidP="00207A95">
      <w:pPr>
        <w:pStyle w:val="FootnoteText"/>
        <w:ind w:left="90" w:hanging="90"/>
        <w:rPr>
          <w:rFonts w:ascii="Arial" w:hAnsi="Arial" w:cs="Arial"/>
          <w:sz w:val="18"/>
          <w:szCs w:val="18"/>
        </w:rPr>
      </w:pPr>
      <w:r w:rsidRPr="00207A95">
        <w:rPr>
          <w:rStyle w:val="FootnoteReference"/>
          <w:rFonts w:ascii="Arial" w:hAnsi="Arial" w:cs="Arial"/>
          <w:sz w:val="18"/>
          <w:szCs w:val="18"/>
        </w:rPr>
        <w:footnoteRef/>
      </w:r>
      <w:r w:rsidRPr="00207A95">
        <w:rPr>
          <w:rFonts w:ascii="Arial" w:hAnsi="Arial" w:cs="Arial"/>
          <w:sz w:val="18"/>
          <w:szCs w:val="18"/>
        </w:rPr>
        <w:t xml:space="preserve"> In other words, for every given operator in the ZNIs, the price of energy will be the same for the scenario with program as well as for the scenario without program.</w:t>
      </w:r>
    </w:p>
  </w:footnote>
  <w:footnote w:id="4">
    <w:p w14:paraId="20C8B250" w14:textId="67AA8F44" w:rsidR="00A819D4" w:rsidRDefault="00A819D4">
      <w:pPr>
        <w:pStyle w:val="FootnoteText"/>
      </w:pPr>
      <w:r>
        <w:rPr>
          <w:rStyle w:val="FootnoteReference"/>
        </w:rPr>
        <w:footnoteRef/>
      </w:r>
      <w:r>
        <w:t xml:space="preserve"> </w:t>
      </w:r>
      <w:r w:rsidRPr="0071340E">
        <w:rPr>
          <w:rFonts w:ascii="Arial" w:hAnsi="Arial" w:cs="Arial"/>
          <w:sz w:val="18"/>
          <w:szCs w:val="18"/>
        </w:rPr>
        <w:t xml:space="preserve">IDB (2015) Analysis of </w:t>
      </w:r>
      <w:r w:rsidR="007358A0">
        <w:rPr>
          <w:rFonts w:ascii="Arial" w:hAnsi="Arial" w:cs="Arial"/>
          <w:sz w:val="18"/>
          <w:szCs w:val="18"/>
        </w:rPr>
        <w:t xml:space="preserve">Credit </w:t>
      </w:r>
      <w:r w:rsidRPr="0071340E">
        <w:rPr>
          <w:rFonts w:ascii="Arial" w:hAnsi="Arial" w:cs="Arial"/>
          <w:sz w:val="18"/>
          <w:szCs w:val="18"/>
        </w:rPr>
        <w:t>Demand for Investments in Renewable Energy in ZNI (</w:t>
      </w:r>
      <w:hyperlink r:id="rId3" w:history="1">
        <w:r w:rsidR="007358A0" w:rsidRPr="007358A0">
          <w:rPr>
            <w:rStyle w:val="Hyperlink"/>
            <w:rFonts w:ascii="Arial" w:hAnsi="Arial" w:cs="Arial"/>
            <w:sz w:val="18"/>
            <w:szCs w:val="18"/>
          </w:rPr>
          <w:t>link</w:t>
        </w:r>
      </w:hyperlink>
      <w:r w:rsidRPr="0071340E">
        <w:rPr>
          <w:rFonts w:ascii="Arial" w:hAnsi="Arial" w:cs="Arial"/>
          <w:sz w:val="18"/>
          <w:szCs w:val="18"/>
        </w:rPr>
        <w:t>)</w:t>
      </w:r>
    </w:p>
  </w:footnote>
  <w:footnote w:id="5">
    <w:p w14:paraId="4E6D5D89" w14:textId="77777777" w:rsidR="00A819D4" w:rsidRPr="0071340E" w:rsidRDefault="00A819D4">
      <w:pPr>
        <w:pStyle w:val="FootnoteText"/>
        <w:rPr>
          <w:rFonts w:ascii="Arial" w:hAnsi="Arial" w:cs="Arial"/>
          <w:sz w:val="18"/>
          <w:szCs w:val="18"/>
        </w:rPr>
      </w:pPr>
      <w:r w:rsidRPr="0071340E">
        <w:rPr>
          <w:rStyle w:val="FootnoteReference"/>
          <w:rFonts w:ascii="Arial" w:hAnsi="Arial" w:cs="Arial"/>
          <w:sz w:val="18"/>
          <w:szCs w:val="18"/>
        </w:rPr>
        <w:footnoteRef/>
      </w:r>
      <w:r w:rsidRPr="0071340E">
        <w:rPr>
          <w:rFonts w:ascii="Arial" w:hAnsi="Arial" w:cs="Arial"/>
          <w:sz w:val="18"/>
          <w:szCs w:val="18"/>
        </w:rPr>
        <w:t xml:space="preserve"> </w:t>
      </w:r>
      <w:r>
        <w:rPr>
          <w:rFonts w:ascii="Arial" w:hAnsi="Arial" w:cs="Arial"/>
          <w:sz w:val="18"/>
          <w:szCs w:val="18"/>
        </w:rPr>
        <w:t>Ibid.</w:t>
      </w:r>
    </w:p>
  </w:footnote>
  <w:footnote w:id="6">
    <w:p w14:paraId="54AA2CA1" w14:textId="77777777" w:rsidR="00A819D4" w:rsidRPr="00492FA2" w:rsidRDefault="00A819D4">
      <w:pPr>
        <w:pStyle w:val="FootnoteText"/>
        <w:rPr>
          <w:rFonts w:ascii="Arial" w:hAnsi="Arial" w:cs="Arial"/>
          <w:sz w:val="18"/>
          <w:szCs w:val="18"/>
        </w:rPr>
      </w:pPr>
      <w:r w:rsidRPr="0071340E">
        <w:rPr>
          <w:rStyle w:val="FootnoteReference"/>
          <w:rFonts w:ascii="Arial" w:hAnsi="Arial" w:cs="Arial"/>
          <w:sz w:val="18"/>
          <w:szCs w:val="18"/>
        </w:rPr>
        <w:footnoteRef/>
      </w:r>
      <w:r w:rsidRPr="00492FA2">
        <w:rPr>
          <w:rFonts w:ascii="Arial" w:hAnsi="Arial" w:cs="Arial"/>
          <w:sz w:val="18"/>
          <w:szCs w:val="18"/>
        </w:rPr>
        <w:t xml:space="preserve"> Ibid</w:t>
      </w:r>
    </w:p>
  </w:footnote>
  <w:footnote w:id="7">
    <w:p w14:paraId="1F7F10DB" w14:textId="77777777" w:rsidR="00A819D4" w:rsidRPr="00492FA2" w:rsidRDefault="00A819D4" w:rsidP="0071340E">
      <w:pPr>
        <w:pStyle w:val="FootnoteText"/>
        <w:rPr>
          <w:rFonts w:ascii="Arial" w:hAnsi="Arial" w:cs="Arial"/>
          <w:sz w:val="18"/>
          <w:szCs w:val="18"/>
        </w:rPr>
      </w:pPr>
      <w:r w:rsidRPr="0071340E">
        <w:rPr>
          <w:rStyle w:val="FootnoteReference"/>
          <w:rFonts w:ascii="Arial" w:hAnsi="Arial" w:cs="Arial"/>
          <w:sz w:val="18"/>
          <w:szCs w:val="18"/>
        </w:rPr>
        <w:footnoteRef/>
      </w:r>
      <w:r w:rsidRPr="00492FA2">
        <w:rPr>
          <w:rFonts w:ascii="Arial" w:hAnsi="Arial" w:cs="Arial"/>
          <w:sz w:val="18"/>
          <w:szCs w:val="18"/>
        </w:rPr>
        <w:t xml:space="preserve"> Ibid</w:t>
      </w:r>
    </w:p>
  </w:footnote>
  <w:footnote w:id="8">
    <w:p w14:paraId="47B1B37E" w14:textId="111D82E8" w:rsidR="00A819D4" w:rsidRDefault="00A819D4">
      <w:pPr>
        <w:pStyle w:val="FootnoteText"/>
      </w:pPr>
      <w:r>
        <w:rPr>
          <w:rStyle w:val="FootnoteReference"/>
        </w:rPr>
        <w:footnoteRef/>
      </w:r>
      <w:r>
        <w:t xml:space="preserve"> The projected GDP growth is comes from estimations made by </w:t>
      </w:r>
      <w:hyperlink r:id="rId4" w:history="1">
        <w:proofErr w:type="spellStart"/>
        <w:r w:rsidRPr="00FE0A8F">
          <w:rPr>
            <w:rStyle w:val="Hyperlink"/>
          </w:rPr>
          <w:t>Bancolombia</w:t>
        </w:r>
        <w:proofErr w:type="spellEnd"/>
      </w:hyperlink>
      <w:r>
        <w:t>.</w:t>
      </w:r>
    </w:p>
  </w:footnote>
  <w:footnote w:id="9">
    <w:p w14:paraId="68B65867" w14:textId="77777777" w:rsidR="00A819D4" w:rsidRPr="00207A95" w:rsidRDefault="00A819D4" w:rsidP="0071340E">
      <w:pPr>
        <w:pStyle w:val="FootnoteText"/>
        <w:rPr>
          <w:rFonts w:ascii="Arial" w:hAnsi="Arial" w:cs="Arial"/>
          <w:sz w:val="18"/>
          <w:szCs w:val="18"/>
          <w:lang w:val="es-ES_tradnl"/>
        </w:rPr>
      </w:pPr>
      <w:r w:rsidRPr="0071340E">
        <w:rPr>
          <w:rStyle w:val="FootnoteReference"/>
          <w:rFonts w:ascii="Arial" w:hAnsi="Arial" w:cs="Arial"/>
          <w:sz w:val="18"/>
          <w:szCs w:val="18"/>
        </w:rPr>
        <w:footnoteRef/>
      </w:r>
      <w:r w:rsidRPr="00207A95">
        <w:rPr>
          <w:rFonts w:ascii="Arial" w:hAnsi="Arial" w:cs="Arial"/>
          <w:sz w:val="18"/>
          <w:szCs w:val="18"/>
          <w:lang w:val="es-ES_tradnl"/>
        </w:rPr>
        <w:t xml:space="preserve"> </w:t>
      </w:r>
      <w:proofErr w:type="gramStart"/>
      <w:r w:rsidRPr="00207A95">
        <w:rPr>
          <w:rFonts w:ascii="Arial" w:hAnsi="Arial" w:cs="Arial"/>
          <w:sz w:val="18"/>
          <w:szCs w:val="18"/>
          <w:lang w:val="es-ES_tradnl"/>
        </w:rPr>
        <w:t>IDB(</w:t>
      </w:r>
      <w:proofErr w:type="gramEnd"/>
      <w:r w:rsidRPr="00207A95">
        <w:rPr>
          <w:rFonts w:ascii="Arial" w:hAnsi="Arial" w:cs="Arial"/>
          <w:sz w:val="18"/>
          <w:szCs w:val="18"/>
          <w:lang w:val="es-ES_tradnl"/>
        </w:rPr>
        <w:t xml:space="preserve">2015). </w:t>
      </w:r>
      <w:proofErr w:type="spellStart"/>
      <w:r w:rsidRPr="00207A95">
        <w:rPr>
          <w:rFonts w:ascii="Arial" w:hAnsi="Arial" w:cs="Arial"/>
          <w:sz w:val="18"/>
          <w:szCs w:val="18"/>
          <w:lang w:val="es-ES_tradnl"/>
        </w:rPr>
        <w:t>Op</w:t>
      </w:r>
      <w:proofErr w:type="spellEnd"/>
      <w:r w:rsidRPr="00207A95">
        <w:rPr>
          <w:rFonts w:ascii="Arial" w:hAnsi="Arial" w:cs="Arial"/>
          <w:sz w:val="18"/>
          <w:szCs w:val="18"/>
          <w:lang w:val="es-ES_tradnl"/>
        </w:rPr>
        <w:t>. Cit.</w:t>
      </w:r>
    </w:p>
  </w:footnote>
  <w:footnote w:id="10">
    <w:p w14:paraId="366A661F" w14:textId="77777777" w:rsidR="00A819D4" w:rsidRPr="00207A95" w:rsidRDefault="00A819D4" w:rsidP="0071340E">
      <w:pPr>
        <w:pStyle w:val="FootnoteText"/>
        <w:rPr>
          <w:rFonts w:ascii="Arial" w:hAnsi="Arial" w:cs="Arial"/>
          <w:sz w:val="18"/>
          <w:szCs w:val="18"/>
          <w:lang w:val="es-ES_tradnl"/>
        </w:rPr>
      </w:pPr>
      <w:r w:rsidRPr="0071340E">
        <w:rPr>
          <w:rStyle w:val="FootnoteReference"/>
          <w:rFonts w:ascii="Arial" w:hAnsi="Arial" w:cs="Arial"/>
          <w:sz w:val="18"/>
          <w:szCs w:val="18"/>
        </w:rPr>
        <w:footnoteRef/>
      </w:r>
      <w:r w:rsidRPr="00207A95">
        <w:rPr>
          <w:rFonts w:ascii="Arial" w:hAnsi="Arial" w:cs="Arial"/>
          <w:sz w:val="18"/>
          <w:szCs w:val="18"/>
          <w:lang w:val="es-ES_tradnl"/>
        </w:rPr>
        <w:t xml:space="preserve"> </w:t>
      </w:r>
      <w:hyperlink r:id="rId5" w:history="1">
        <w:r w:rsidRPr="00207A95">
          <w:rPr>
            <w:rStyle w:val="Hyperlink"/>
            <w:rFonts w:ascii="Arial" w:hAnsi="Arial" w:cs="Arial"/>
            <w:sz w:val="18"/>
            <w:szCs w:val="18"/>
            <w:lang w:val="es-ES_tradnl"/>
          </w:rPr>
          <w:t>UPME (2011). Plan de Acción Indicativo 2010-2015 PROURE</w:t>
        </w:r>
      </w:hyperlink>
    </w:p>
  </w:footnote>
  <w:footnote w:id="11">
    <w:p w14:paraId="2ADC9306" w14:textId="77777777" w:rsidR="00A819D4" w:rsidRPr="0071340E" w:rsidRDefault="00A819D4" w:rsidP="0071340E">
      <w:pPr>
        <w:pStyle w:val="FootnoteText"/>
        <w:rPr>
          <w:rFonts w:ascii="Arial" w:hAnsi="Arial" w:cs="Arial"/>
          <w:sz w:val="18"/>
          <w:szCs w:val="18"/>
        </w:rPr>
      </w:pPr>
      <w:r w:rsidRPr="0071340E">
        <w:rPr>
          <w:rStyle w:val="FootnoteReference"/>
          <w:rFonts w:ascii="Arial" w:hAnsi="Arial" w:cs="Arial"/>
          <w:sz w:val="18"/>
          <w:szCs w:val="18"/>
        </w:rPr>
        <w:footnoteRef/>
      </w:r>
      <w:r w:rsidRPr="0071340E">
        <w:rPr>
          <w:rFonts w:ascii="Arial" w:hAnsi="Arial" w:cs="Arial"/>
          <w:sz w:val="18"/>
          <w:szCs w:val="18"/>
        </w:rPr>
        <w:t xml:space="preserve"> </w:t>
      </w:r>
      <w:proofErr w:type="gramStart"/>
      <w:r w:rsidRPr="00B87C44">
        <w:rPr>
          <w:rFonts w:ascii="Arial" w:hAnsi="Arial" w:cs="Arial"/>
          <w:sz w:val="18"/>
          <w:szCs w:val="18"/>
        </w:rPr>
        <w:t>IDB(</w:t>
      </w:r>
      <w:proofErr w:type="gramEnd"/>
      <w:r w:rsidRPr="00B87C44">
        <w:rPr>
          <w:rFonts w:ascii="Arial" w:hAnsi="Arial" w:cs="Arial"/>
          <w:sz w:val="18"/>
          <w:szCs w:val="18"/>
        </w:rPr>
        <w:t xml:space="preserve">2015). Op. </w:t>
      </w:r>
      <w:proofErr w:type="spellStart"/>
      <w:r w:rsidRPr="00B87C44">
        <w:rPr>
          <w:rFonts w:ascii="Arial" w:hAnsi="Arial" w:cs="Arial"/>
          <w:sz w:val="18"/>
          <w:szCs w:val="18"/>
        </w:rPr>
        <w:t>Cit</w:t>
      </w:r>
      <w:proofErr w:type="spellEnd"/>
    </w:p>
  </w:footnote>
  <w:footnote w:id="12">
    <w:p w14:paraId="6B0105E6" w14:textId="77777777" w:rsidR="00A819D4" w:rsidRPr="0071340E" w:rsidRDefault="00A819D4" w:rsidP="0071340E">
      <w:pPr>
        <w:pStyle w:val="FootnoteText"/>
        <w:rPr>
          <w:rFonts w:ascii="Arial" w:hAnsi="Arial" w:cs="Arial"/>
          <w:sz w:val="18"/>
          <w:szCs w:val="18"/>
        </w:rPr>
      </w:pPr>
      <w:r w:rsidRPr="0071340E">
        <w:rPr>
          <w:rStyle w:val="FootnoteReference"/>
          <w:rFonts w:ascii="Arial" w:hAnsi="Arial" w:cs="Arial"/>
          <w:sz w:val="18"/>
          <w:szCs w:val="18"/>
        </w:rPr>
        <w:footnoteRef/>
      </w:r>
      <w:r w:rsidRPr="0071340E">
        <w:rPr>
          <w:rFonts w:ascii="Arial" w:hAnsi="Arial" w:cs="Arial"/>
          <w:sz w:val="18"/>
          <w:szCs w:val="18"/>
        </w:rPr>
        <w:t xml:space="preserve"> Ibid</w:t>
      </w:r>
    </w:p>
  </w:footnote>
  <w:footnote w:id="13">
    <w:p w14:paraId="2EDF5AB6" w14:textId="5248410E" w:rsidR="002516CF" w:rsidRDefault="002516CF">
      <w:pPr>
        <w:pStyle w:val="FootnoteText"/>
      </w:pPr>
      <w:r>
        <w:rPr>
          <w:rStyle w:val="FootnoteReference"/>
        </w:rPr>
        <w:footnoteRef/>
      </w:r>
      <w:r>
        <w:t xml:space="preserve"> Hence, we are assuming these load factors for every RE technology in the model as well.</w:t>
      </w:r>
    </w:p>
  </w:footnote>
  <w:footnote w:id="14">
    <w:p w14:paraId="214C35A7" w14:textId="77777777" w:rsidR="00A819D4" w:rsidRPr="0071340E" w:rsidRDefault="007358A0">
      <w:pPr>
        <w:pStyle w:val="FootnoteText"/>
        <w:rPr>
          <w:rFonts w:ascii="Arial" w:hAnsi="Arial" w:cs="Arial"/>
          <w:sz w:val="18"/>
          <w:szCs w:val="18"/>
        </w:rPr>
      </w:pPr>
      <w:hyperlink r:id="rId6" w:anchor="!/2015/09/16" w:history="1">
        <w:r w:rsidR="00A819D4" w:rsidRPr="0071340E">
          <w:rPr>
            <w:rStyle w:val="Hyperlink"/>
            <w:rFonts w:ascii="Arial" w:hAnsi="Arial" w:cs="Arial"/>
            <w:sz w:val="18"/>
            <w:szCs w:val="18"/>
            <w:vertAlign w:val="superscript"/>
          </w:rPr>
          <w:footnoteRef/>
        </w:r>
        <w:r w:rsidR="00A819D4" w:rsidRPr="0071340E">
          <w:rPr>
            <w:rStyle w:val="Hyperlink"/>
            <w:rFonts w:ascii="Arial" w:hAnsi="Arial" w:cs="Arial"/>
            <w:sz w:val="18"/>
            <w:szCs w:val="18"/>
          </w:rPr>
          <w:t xml:space="preserve"> </w:t>
        </w:r>
        <w:proofErr w:type="gramStart"/>
        <w:r w:rsidR="00A819D4" w:rsidRPr="0071340E">
          <w:rPr>
            <w:rStyle w:val="Hyperlink"/>
            <w:rFonts w:ascii="Arial" w:hAnsi="Arial" w:cs="Arial"/>
            <w:sz w:val="18"/>
            <w:szCs w:val="18"/>
          </w:rPr>
          <w:t>EEX.</w:t>
        </w:r>
        <w:proofErr w:type="gramEnd"/>
        <w:r w:rsidR="00A819D4" w:rsidRPr="0071340E">
          <w:rPr>
            <w:rStyle w:val="Hyperlink"/>
            <w:rFonts w:ascii="Arial" w:hAnsi="Arial" w:cs="Arial"/>
            <w:sz w:val="18"/>
            <w:szCs w:val="18"/>
          </w:rPr>
          <w:t xml:space="preserve"> </w:t>
        </w:r>
        <w:proofErr w:type="gramStart"/>
        <w:r w:rsidR="00A819D4" w:rsidRPr="0071340E">
          <w:rPr>
            <w:rStyle w:val="Hyperlink"/>
            <w:rFonts w:ascii="Arial" w:hAnsi="Arial" w:cs="Arial"/>
            <w:sz w:val="18"/>
            <w:szCs w:val="18"/>
          </w:rPr>
          <w:t>EU Emissions Allowance</w:t>
        </w:r>
      </w:hyperlink>
      <w:r w:rsidR="00A819D4" w:rsidRPr="0071340E">
        <w:rPr>
          <w:rFonts w:ascii="Arial" w:hAnsi="Arial" w:cs="Arial"/>
          <w:sz w:val="18"/>
          <w:szCs w:val="18"/>
        </w:rPr>
        <w:t>.</w:t>
      </w:r>
      <w:proofErr w:type="gramEnd"/>
    </w:p>
  </w:footnote>
  <w:footnote w:id="15">
    <w:p w14:paraId="03B30D21" w14:textId="275CB999" w:rsidR="00A819D4" w:rsidRPr="0071340E" w:rsidRDefault="007358A0">
      <w:pPr>
        <w:pStyle w:val="FootnoteText"/>
        <w:rPr>
          <w:rFonts w:ascii="Arial" w:hAnsi="Arial" w:cs="Arial"/>
          <w:sz w:val="18"/>
          <w:szCs w:val="18"/>
        </w:rPr>
      </w:pPr>
      <w:hyperlink r:id="rId7" w:history="1">
        <w:r w:rsidR="00A819D4" w:rsidRPr="0071340E">
          <w:rPr>
            <w:rStyle w:val="Hyperlink"/>
            <w:rFonts w:ascii="Arial" w:hAnsi="Arial" w:cs="Arial"/>
            <w:sz w:val="18"/>
            <w:szCs w:val="18"/>
            <w:vertAlign w:val="superscript"/>
          </w:rPr>
          <w:footnoteRef/>
        </w:r>
        <w:r w:rsidR="00A819D4" w:rsidRPr="0071340E">
          <w:rPr>
            <w:rStyle w:val="Hyperlink"/>
            <w:rFonts w:ascii="Arial" w:hAnsi="Arial" w:cs="Arial"/>
            <w:sz w:val="18"/>
            <w:szCs w:val="18"/>
            <w:vertAlign w:val="superscript"/>
          </w:rPr>
          <w:t xml:space="preserve"> </w:t>
        </w:r>
        <w:proofErr w:type="gramStart"/>
        <w:r w:rsidR="00A819D4" w:rsidRPr="0071340E">
          <w:rPr>
            <w:rStyle w:val="Hyperlink"/>
            <w:rFonts w:ascii="Arial" w:hAnsi="Arial" w:cs="Arial"/>
            <w:sz w:val="18"/>
            <w:szCs w:val="18"/>
          </w:rPr>
          <w:t>(2015) Synapse Energy Economics.</w:t>
        </w:r>
        <w:proofErr w:type="gramEnd"/>
        <w:r w:rsidR="00A819D4" w:rsidRPr="0071340E">
          <w:rPr>
            <w:rStyle w:val="Hyperlink"/>
            <w:rFonts w:ascii="Arial" w:hAnsi="Arial" w:cs="Arial"/>
            <w:sz w:val="18"/>
            <w:szCs w:val="18"/>
          </w:rPr>
          <w:t xml:space="preserve"> </w:t>
        </w:r>
        <w:proofErr w:type="gramStart"/>
        <w:r w:rsidR="00A819D4" w:rsidRPr="0071340E">
          <w:rPr>
            <w:rStyle w:val="Hyperlink"/>
            <w:rFonts w:ascii="Arial" w:hAnsi="Arial" w:cs="Arial"/>
            <w:i/>
            <w:sz w:val="18"/>
            <w:szCs w:val="18"/>
          </w:rPr>
          <w:t>2015 Carbon Dioxide Price Forecast</w:t>
        </w:r>
      </w:hyperlink>
      <w:r w:rsidR="00A819D4">
        <w:rPr>
          <w:rStyle w:val="Hyperlink"/>
          <w:rFonts w:ascii="Arial" w:hAnsi="Arial" w:cs="Arial"/>
          <w:i/>
          <w:sz w:val="18"/>
          <w:szCs w:val="18"/>
        </w:rPr>
        <w:t>.</w:t>
      </w:r>
      <w:proofErr w:type="gramEnd"/>
      <w:r w:rsidR="00A819D4">
        <w:rPr>
          <w:rStyle w:val="Hyperlink"/>
          <w:rFonts w:ascii="Arial" w:hAnsi="Arial" w:cs="Arial"/>
          <w:i/>
          <w:sz w:val="18"/>
          <w:szCs w:val="18"/>
        </w:rPr>
        <w:t xml:space="preserve"> </w:t>
      </w:r>
      <w:r w:rsidR="00A819D4">
        <w:rPr>
          <w:rStyle w:val="Hyperlink"/>
          <w:rFonts w:ascii="Arial" w:hAnsi="Arial" w:cs="Arial"/>
          <w:sz w:val="18"/>
          <w:szCs w:val="18"/>
        </w:rPr>
        <w:t>We consider the mid case scenario.</w:t>
      </w:r>
      <w:r w:rsidR="00A819D4" w:rsidRPr="0071340E">
        <w:rPr>
          <w:rFonts w:ascii="Arial" w:hAnsi="Arial" w:cs="Arial"/>
          <w:sz w:val="18"/>
          <w:szCs w:val="18"/>
        </w:rPr>
        <w:t xml:space="preserve"> </w:t>
      </w:r>
    </w:p>
  </w:footnote>
  <w:footnote w:id="16">
    <w:p w14:paraId="070B6D14" w14:textId="46B7ED2D" w:rsidR="00A819D4" w:rsidRPr="0071340E" w:rsidRDefault="00A819D4" w:rsidP="00597A07">
      <w:pPr>
        <w:pStyle w:val="FootnoteText"/>
        <w:rPr>
          <w:rFonts w:ascii="Arial" w:hAnsi="Arial" w:cs="Arial"/>
          <w:sz w:val="18"/>
          <w:szCs w:val="18"/>
        </w:rPr>
      </w:pPr>
      <w:r w:rsidRPr="0071340E">
        <w:rPr>
          <w:rStyle w:val="FootnoteReference"/>
          <w:rFonts w:ascii="Arial" w:hAnsi="Arial" w:cs="Arial"/>
          <w:sz w:val="18"/>
          <w:szCs w:val="18"/>
        </w:rPr>
        <w:footnoteRef/>
      </w:r>
      <w:r w:rsidRPr="0071340E">
        <w:rPr>
          <w:rFonts w:ascii="Arial" w:hAnsi="Arial" w:cs="Arial"/>
          <w:sz w:val="18"/>
          <w:szCs w:val="18"/>
        </w:rPr>
        <w:t xml:space="preserve"> </w:t>
      </w:r>
      <w:proofErr w:type="gramStart"/>
      <w:r w:rsidRPr="0071340E">
        <w:rPr>
          <w:rFonts w:ascii="Arial" w:hAnsi="Arial" w:cs="Arial"/>
          <w:sz w:val="18"/>
          <w:szCs w:val="18"/>
        </w:rPr>
        <w:t>IDB(</w:t>
      </w:r>
      <w:proofErr w:type="gramEnd"/>
      <w:r w:rsidRPr="0071340E">
        <w:rPr>
          <w:rFonts w:ascii="Arial" w:hAnsi="Arial" w:cs="Arial"/>
          <w:sz w:val="18"/>
          <w:szCs w:val="18"/>
        </w:rPr>
        <w:t xml:space="preserve">2015). </w:t>
      </w:r>
      <w:r w:rsidR="007358A0" w:rsidRPr="0071340E">
        <w:rPr>
          <w:rFonts w:ascii="Arial" w:hAnsi="Arial" w:cs="Arial"/>
          <w:sz w:val="18"/>
          <w:szCs w:val="18"/>
        </w:rPr>
        <w:t xml:space="preserve">Analysis of </w:t>
      </w:r>
      <w:r w:rsidR="007358A0">
        <w:rPr>
          <w:rFonts w:ascii="Arial" w:hAnsi="Arial" w:cs="Arial"/>
          <w:sz w:val="18"/>
          <w:szCs w:val="18"/>
        </w:rPr>
        <w:t xml:space="preserve">Credit </w:t>
      </w:r>
      <w:r w:rsidR="007358A0" w:rsidRPr="0071340E">
        <w:rPr>
          <w:rFonts w:ascii="Arial" w:hAnsi="Arial" w:cs="Arial"/>
          <w:sz w:val="18"/>
          <w:szCs w:val="18"/>
        </w:rPr>
        <w:t>Demand for Investments in Renewable Energy in ZNI (</w:t>
      </w:r>
      <w:hyperlink r:id="rId8" w:history="1">
        <w:r w:rsidR="007358A0" w:rsidRPr="007358A0">
          <w:rPr>
            <w:rStyle w:val="Hyperlink"/>
            <w:rFonts w:ascii="Arial" w:hAnsi="Arial" w:cs="Arial"/>
            <w:sz w:val="18"/>
            <w:szCs w:val="18"/>
          </w:rPr>
          <w:t>link</w:t>
        </w:r>
      </w:hyperlink>
      <w:r w:rsidR="007358A0" w:rsidRPr="0071340E">
        <w:rPr>
          <w:rFonts w:ascii="Arial" w:hAnsi="Arial" w:cs="Arial"/>
          <w:sz w:val="18"/>
          <w:szCs w:val="18"/>
        </w:rPr>
        <w:t>)</w:t>
      </w:r>
    </w:p>
    <w:p w14:paraId="5C6453AF" w14:textId="77777777" w:rsidR="00A819D4" w:rsidRDefault="00A819D4">
      <w:pPr>
        <w:pStyle w:val="FootnoteText"/>
      </w:pPr>
      <w:bookmarkStart w:id="1" w:name="_GoBack"/>
      <w:bookmarkEnd w:id="1"/>
    </w:p>
  </w:footnote>
  <w:footnote w:id="17">
    <w:p w14:paraId="312A79F3" w14:textId="630CE9C6" w:rsidR="003C7C5C" w:rsidRDefault="003C7C5C">
      <w:pPr>
        <w:pStyle w:val="FootnoteText"/>
      </w:pPr>
      <w:r>
        <w:rPr>
          <w:rStyle w:val="FootnoteReference"/>
        </w:rPr>
        <w:footnoteRef/>
      </w:r>
      <w:r>
        <w:t xml:space="preserve"> Includes USD 10 million from Bancoldex.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33E"/>
    <w:multiLevelType w:val="hybridMultilevel"/>
    <w:tmpl w:val="D7FC9A5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A2B35"/>
    <w:multiLevelType w:val="multilevel"/>
    <w:tmpl w:val="A7FA9766"/>
    <w:lvl w:ilvl="0">
      <w:start w:val="1"/>
      <w:numFmt w:val="upperRoman"/>
      <w:lvlRestart w:val="0"/>
      <w:lvlText w:val="%1."/>
      <w:lvlJc w:val="center"/>
      <w:pPr>
        <w:tabs>
          <w:tab w:val="num" w:pos="1800"/>
        </w:tabs>
        <w:ind w:left="1152" w:firstLine="288"/>
      </w:pPr>
      <w:rPr>
        <w:b/>
        <w:i w:val="0"/>
      </w:rPr>
    </w:lvl>
    <w:lvl w:ilvl="1">
      <w:start w:val="1"/>
      <w:numFmt w:val="decimal"/>
      <w:isLgl/>
      <w:lvlText w:val="%1.%2"/>
      <w:lvlJc w:val="left"/>
      <w:pPr>
        <w:tabs>
          <w:tab w:val="num" w:pos="2448"/>
        </w:tabs>
        <w:ind w:left="2448" w:hanging="1296"/>
      </w:pPr>
      <w:rPr>
        <w:rFonts w:ascii="Arial" w:hAnsi="Arial" w:cs="Arial" w:hint="default"/>
        <w:sz w:val="22"/>
      </w:rPr>
    </w:lvl>
    <w:lvl w:ilvl="2">
      <w:start w:val="1"/>
      <w:numFmt w:val="lowerLetter"/>
      <w:lvlText w:val="%3."/>
      <w:lvlJc w:val="left"/>
      <w:pPr>
        <w:tabs>
          <w:tab w:val="num" w:pos="2304"/>
        </w:tabs>
        <w:ind w:left="2304" w:hanging="432"/>
      </w:pPr>
    </w:lvl>
    <w:lvl w:ilvl="3">
      <w:start w:val="1"/>
      <w:numFmt w:val="lowerRoman"/>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2">
    <w:nsid w:val="172114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1E61251"/>
    <w:multiLevelType w:val="hybridMultilevel"/>
    <w:tmpl w:val="8DAA21C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24B3711"/>
    <w:multiLevelType w:val="hybridMultilevel"/>
    <w:tmpl w:val="A12E059A"/>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40217E02"/>
    <w:multiLevelType w:val="hybridMultilevel"/>
    <w:tmpl w:val="EF2618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03C72F3"/>
    <w:multiLevelType w:val="multilevel"/>
    <w:tmpl w:val="D518A006"/>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lowerRoman"/>
      <w:lvlText w:val="%3."/>
      <w:lvlJc w:val="right"/>
      <w:pPr>
        <w:ind w:left="1080" w:hanging="360"/>
      </w:pPr>
      <w:rPr>
        <w:rFonts w:hint="default"/>
        <w:b w:val="0"/>
        <w:i w:val="0"/>
        <w:sz w:val="22"/>
        <w:szCs w:val="22"/>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nsid w:val="42F878B7"/>
    <w:multiLevelType w:val="multilevel"/>
    <w:tmpl w:val="09C8B248"/>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9306"/>
        </w:tabs>
        <w:ind w:left="9306" w:hanging="1296"/>
      </w:pPr>
      <w:rPr>
        <w:b w:val="0"/>
      </w:rPr>
    </w:lvl>
    <w:lvl w:ilvl="2">
      <w:start w:val="1"/>
      <w:numFmt w:val="lowerLetter"/>
      <w:pStyle w:val="Paragraph"/>
      <w:lvlText w:val="%3."/>
      <w:lvlJc w:val="left"/>
      <w:pPr>
        <w:tabs>
          <w:tab w:val="num" w:pos="432"/>
        </w:tabs>
        <w:ind w:left="432" w:hanging="432"/>
      </w:pPr>
      <w:rPr>
        <w:b w:val="0"/>
      </w:rPr>
    </w:lvl>
    <w:lvl w:ilvl="3">
      <w:start w:val="1"/>
      <w:numFmt w:val="lowerLetter"/>
      <w:lvlText w:val="%4."/>
      <w:lvlJc w:val="left"/>
      <w:pPr>
        <w:tabs>
          <w:tab w:val="num" w:pos="2736"/>
        </w:tabs>
        <w:ind w:left="2736" w:hanging="288"/>
      </w:pPr>
    </w:lvl>
    <w:lvl w:ilvl="4">
      <w:start w:val="1"/>
      <w:numFmt w:val="lowerRoman"/>
      <w:lvlText w:val="%5."/>
      <w:lvlJc w:val="righ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8">
    <w:nsid w:val="43223234"/>
    <w:multiLevelType w:val="hybridMultilevel"/>
    <w:tmpl w:val="E988B16A"/>
    <w:lvl w:ilvl="0" w:tplc="04090001">
      <w:start w:val="1"/>
      <w:numFmt w:val="bullet"/>
      <w:lvlText w:val=""/>
      <w:lvlJc w:val="left"/>
      <w:pPr>
        <w:ind w:left="720" w:hanging="360"/>
      </w:pPr>
      <w:rPr>
        <w:rFonts w:ascii="Symbol" w:hAnsi="Symbol" w:hint="default"/>
      </w:rPr>
    </w:lvl>
    <w:lvl w:ilvl="1" w:tplc="000B04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528C1"/>
    <w:multiLevelType w:val="hybridMultilevel"/>
    <w:tmpl w:val="AA5E7BE8"/>
    <w:lvl w:ilvl="0" w:tplc="EE2E19FA">
      <w:start w:val="1"/>
      <w:numFmt w:val="lowerRoman"/>
      <w:lvlText w:val="(%1)"/>
      <w:lvlJc w:val="left"/>
      <w:pPr>
        <w:ind w:left="1080" w:hanging="360"/>
      </w:pPr>
      <w:rPr>
        <w:lang w:val="en-US"/>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DD7769A"/>
    <w:multiLevelType w:val="hybridMultilevel"/>
    <w:tmpl w:val="632872BC"/>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5915DF"/>
    <w:multiLevelType w:val="multilevel"/>
    <w:tmpl w:val="BD28436A"/>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5E53538A"/>
    <w:multiLevelType w:val="hybridMultilevel"/>
    <w:tmpl w:val="2FDA207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480413B"/>
    <w:multiLevelType w:val="multilevel"/>
    <w:tmpl w:val="147662F4"/>
    <w:lvl w:ilvl="0">
      <w:start w:val="7"/>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4">
    <w:nsid w:val="69DE2A27"/>
    <w:multiLevelType w:val="multilevel"/>
    <w:tmpl w:val="F3A0CF9C"/>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5">
    <w:nsid w:val="6DDB48C0"/>
    <w:multiLevelType w:val="hybridMultilevel"/>
    <w:tmpl w:val="538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7B6AC5"/>
    <w:multiLevelType w:val="multilevel"/>
    <w:tmpl w:val="F3A0CF9C"/>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7">
    <w:nsid w:val="74762FCB"/>
    <w:multiLevelType w:val="hybridMultilevel"/>
    <w:tmpl w:val="8A86D4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75CE2DA3"/>
    <w:multiLevelType w:val="hybridMultilevel"/>
    <w:tmpl w:val="00C6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B28E4"/>
    <w:multiLevelType w:val="multilevel"/>
    <w:tmpl w:val="F3A0CF9C"/>
    <w:lvl w:ilvl="0">
      <w:start w:val="1"/>
      <w:numFmt w:val="upperRoman"/>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7BE303E1"/>
    <w:multiLevelType w:val="hybridMultilevel"/>
    <w:tmpl w:val="ED1CDE9C"/>
    <w:lvl w:ilvl="0" w:tplc="04090013">
      <w:start w:val="1"/>
      <w:numFmt w:val="upperRoman"/>
      <w:lvlText w:val="%1."/>
      <w:lvlJc w:val="right"/>
      <w:pPr>
        <w:ind w:left="720" w:hanging="360"/>
      </w:pPr>
      <w:rPr>
        <w:rFonts w:hint="default"/>
      </w:rPr>
    </w:lvl>
    <w:lvl w:ilvl="1" w:tplc="04090013">
      <w:start w:val="1"/>
      <w:numFmt w:val="upperRoman"/>
      <w:lvlText w:val="%2."/>
      <w:lvlJc w:val="right"/>
      <w:pPr>
        <w:ind w:left="1350" w:hanging="360"/>
      </w:pPr>
    </w:lvl>
    <w:lvl w:ilvl="2" w:tplc="00010409">
      <w:start w:val="1"/>
      <w:numFmt w:val="bullet"/>
      <w:lvlText w:val=""/>
      <w:lvlJc w:val="left"/>
      <w:pPr>
        <w:tabs>
          <w:tab w:val="num" w:pos="80"/>
        </w:tabs>
        <w:ind w:left="8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20"/>
  </w:num>
  <w:num w:numId="5">
    <w:abstractNumId w:val="6"/>
  </w:num>
  <w:num w:numId="6">
    <w:abstractNumId w:val="17"/>
  </w:num>
  <w:num w:numId="7">
    <w:abstractNumId w:val="11"/>
  </w:num>
  <w:num w:numId="8">
    <w:abstractNumId w:val="15"/>
  </w:num>
  <w:num w:numId="9">
    <w:abstractNumId w:val="18"/>
  </w:num>
  <w:num w:numId="10">
    <w:abstractNumId w:val="13"/>
  </w:num>
  <w:num w:numId="11">
    <w:abstractNumId w:val="3"/>
  </w:num>
  <w:num w:numId="12">
    <w:abstractNumId w:val="7"/>
  </w:num>
  <w:num w:numId="13">
    <w:abstractNumId w:val="9"/>
  </w:num>
  <w:num w:numId="14">
    <w:abstractNumId w:val="2"/>
  </w:num>
  <w:num w:numId="15">
    <w:abstractNumId w:val="14"/>
  </w:num>
  <w:num w:numId="16">
    <w:abstractNumId w:val="19"/>
  </w:num>
  <w:num w:numId="17">
    <w:abstractNumId w:val="16"/>
  </w:num>
  <w:num w:numId="18">
    <w:abstractNumId w:val="4"/>
  </w:num>
  <w:num w:numId="19">
    <w:abstractNumId w:val="10"/>
  </w:num>
  <w:num w:numId="20">
    <w:abstractNumId w:val="5"/>
  </w:num>
  <w:num w:numId="21">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Vargas Macedo">
    <w15:presenceInfo w15:providerId="Windows Live" w15:userId="6f873350373b3b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C2"/>
    <w:rsid w:val="00007644"/>
    <w:rsid w:val="00015242"/>
    <w:rsid w:val="00023CBE"/>
    <w:rsid w:val="000306ED"/>
    <w:rsid w:val="000308CA"/>
    <w:rsid w:val="00037196"/>
    <w:rsid w:val="00040990"/>
    <w:rsid w:val="00055622"/>
    <w:rsid w:val="00066E74"/>
    <w:rsid w:val="00067D5F"/>
    <w:rsid w:val="00071FB9"/>
    <w:rsid w:val="00074463"/>
    <w:rsid w:val="00082227"/>
    <w:rsid w:val="00091015"/>
    <w:rsid w:val="000925C2"/>
    <w:rsid w:val="000B073C"/>
    <w:rsid w:val="000C091A"/>
    <w:rsid w:val="000C3166"/>
    <w:rsid w:val="000C69C8"/>
    <w:rsid w:val="000D227A"/>
    <w:rsid w:val="000D5480"/>
    <w:rsid w:val="000E2712"/>
    <w:rsid w:val="000E5755"/>
    <w:rsid w:val="000E5B11"/>
    <w:rsid w:val="00126D80"/>
    <w:rsid w:val="0013218D"/>
    <w:rsid w:val="00133BED"/>
    <w:rsid w:val="00140DD5"/>
    <w:rsid w:val="001417AF"/>
    <w:rsid w:val="00144CDC"/>
    <w:rsid w:val="001538A8"/>
    <w:rsid w:val="0015768B"/>
    <w:rsid w:val="00160AA2"/>
    <w:rsid w:val="001771CD"/>
    <w:rsid w:val="00185901"/>
    <w:rsid w:val="001978A2"/>
    <w:rsid w:val="001A1239"/>
    <w:rsid w:val="001A40D2"/>
    <w:rsid w:val="001A43BB"/>
    <w:rsid w:val="001B1FE2"/>
    <w:rsid w:val="001B4327"/>
    <w:rsid w:val="001E4ABC"/>
    <w:rsid w:val="001E6D8F"/>
    <w:rsid w:val="001E74C1"/>
    <w:rsid w:val="001F6F4F"/>
    <w:rsid w:val="00205C2F"/>
    <w:rsid w:val="00207A95"/>
    <w:rsid w:val="00221C7D"/>
    <w:rsid w:val="00223EE3"/>
    <w:rsid w:val="00227A82"/>
    <w:rsid w:val="0023289F"/>
    <w:rsid w:val="002464B6"/>
    <w:rsid w:val="002516CF"/>
    <w:rsid w:val="00253CF8"/>
    <w:rsid w:val="0025436F"/>
    <w:rsid w:val="002602D7"/>
    <w:rsid w:val="00261332"/>
    <w:rsid w:val="002672FA"/>
    <w:rsid w:val="00270D29"/>
    <w:rsid w:val="00284607"/>
    <w:rsid w:val="00284AAD"/>
    <w:rsid w:val="002A28D8"/>
    <w:rsid w:val="002B0369"/>
    <w:rsid w:val="002B2356"/>
    <w:rsid w:val="002B2405"/>
    <w:rsid w:val="002C095A"/>
    <w:rsid w:val="002C216C"/>
    <w:rsid w:val="002C3D16"/>
    <w:rsid w:val="002C4B9E"/>
    <w:rsid w:val="002D77D4"/>
    <w:rsid w:val="002D7E25"/>
    <w:rsid w:val="002E0F62"/>
    <w:rsid w:val="002E6AD2"/>
    <w:rsid w:val="002F0E90"/>
    <w:rsid w:val="002F3406"/>
    <w:rsid w:val="002F571E"/>
    <w:rsid w:val="002F73A9"/>
    <w:rsid w:val="0030044F"/>
    <w:rsid w:val="00300850"/>
    <w:rsid w:val="0031354C"/>
    <w:rsid w:val="00324EFD"/>
    <w:rsid w:val="003256F7"/>
    <w:rsid w:val="00344469"/>
    <w:rsid w:val="00345446"/>
    <w:rsid w:val="003466C3"/>
    <w:rsid w:val="003665DE"/>
    <w:rsid w:val="00373233"/>
    <w:rsid w:val="0038015A"/>
    <w:rsid w:val="003875EE"/>
    <w:rsid w:val="003A3B5C"/>
    <w:rsid w:val="003A4473"/>
    <w:rsid w:val="003A5E50"/>
    <w:rsid w:val="003B626C"/>
    <w:rsid w:val="003C3EAD"/>
    <w:rsid w:val="003C77CC"/>
    <w:rsid w:val="003C7C5C"/>
    <w:rsid w:val="003D587D"/>
    <w:rsid w:val="003E04F2"/>
    <w:rsid w:val="003E6B2A"/>
    <w:rsid w:val="003F2317"/>
    <w:rsid w:val="0040027A"/>
    <w:rsid w:val="0040461F"/>
    <w:rsid w:val="0041233D"/>
    <w:rsid w:val="00412A9E"/>
    <w:rsid w:val="00421968"/>
    <w:rsid w:val="004266E0"/>
    <w:rsid w:val="00431256"/>
    <w:rsid w:val="00431A3A"/>
    <w:rsid w:val="0043579B"/>
    <w:rsid w:val="00436BDF"/>
    <w:rsid w:val="0045558B"/>
    <w:rsid w:val="00470E75"/>
    <w:rsid w:val="00470EC3"/>
    <w:rsid w:val="00485151"/>
    <w:rsid w:val="00486791"/>
    <w:rsid w:val="00491A36"/>
    <w:rsid w:val="00491E01"/>
    <w:rsid w:val="00492FA2"/>
    <w:rsid w:val="004B68CE"/>
    <w:rsid w:val="004C4AD8"/>
    <w:rsid w:val="004C751D"/>
    <w:rsid w:val="004C76C1"/>
    <w:rsid w:val="004F00A4"/>
    <w:rsid w:val="004F2272"/>
    <w:rsid w:val="004F496D"/>
    <w:rsid w:val="00504A2C"/>
    <w:rsid w:val="00504D1A"/>
    <w:rsid w:val="005064BD"/>
    <w:rsid w:val="0051251F"/>
    <w:rsid w:val="005133A8"/>
    <w:rsid w:val="00515953"/>
    <w:rsid w:val="00517132"/>
    <w:rsid w:val="005210E6"/>
    <w:rsid w:val="00525B59"/>
    <w:rsid w:val="00534672"/>
    <w:rsid w:val="00536211"/>
    <w:rsid w:val="005405D5"/>
    <w:rsid w:val="00542568"/>
    <w:rsid w:val="005439F7"/>
    <w:rsid w:val="00543AF3"/>
    <w:rsid w:val="005474B3"/>
    <w:rsid w:val="00552128"/>
    <w:rsid w:val="00553793"/>
    <w:rsid w:val="005568E9"/>
    <w:rsid w:val="00570D0B"/>
    <w:rsid w:val="0057719F"/>
    <w:rsid w:val="0059240C"/>
    <w:rsid w:val="00592537"/>
    <w:rsid w:val="00596FDE"/>
    <w:rsid w:val="00597A07"/>
    <w:rsid w:val="005A2CB0"/>
    <w:rsid w:val="005A388D"/>
    <w:rsid w:val="005B3D64"/>
    <w:rsid w:val="005B50BB"/>
    <w:rsid w:val="005B732A"/>
    <w:rsid w:val="005C225E"/>
    <w:rsid w:val="005E3CA6"/>
    <w:rsid w:val="005E69DC"/>
    <w:rsid w:val="005F010D"/>
    <w:rsid w:val="005F7F9F"/>
    <w:rsid w:val="00604F53"/>
    <w:rsid w:val="00605BDB"/>
    <w:rsid w:val="0061562D"/>
    <w:rsid w:val="006209F2"/>
    <w:rsid w:val="00622BE0"/>
    <w:rsid w:val="00624070"/>
    <w:rsid w:val="00625AE2"/>
    <w:rsid w:val="00625B32"/>
    <w:rsid w:val="00627523"/>
    <w:rsid w:val="006567D4"/>
    <w:rsid w:val="00662649"/>
    <w:rsid w:val="0066410F"/>
    <w:rsid w:val="00672650"/>
    <w:rsid w:val="00673571"/>
    <w:rsid w:val="00673E79"/>
    <w:rsid w:val="00674217"/>
    <w:rsid w:val="00674358"/>
    <w:rsid w:val="00675CBC"/>
    <w:rsid w:val="006847BA"/>
    <w:rsid w:val="0068734F"/>
    <w:rsid w:val="00694C29"/>
    <w:rsid w:val="006B5550"/>
    <w:rsid w:val="006B6C0B"/>
    <w:rsid w:val="006C2501"/>
    <w:rsid w:val="006C67E3"/>
    <w:rsid w:val="006C735A"/>
    <w:rsid w:val="006D74BF"/>
    <w:rsid w:val="006F767D"/>
    <w:rsid w:val="007027EA"/>
    <w:rsid w:val="007039E3"/>
    <w:rsid w:val="0071340E"/>
    <w:rsid w:val="00715962"/>
    <w:rsid w:val="00717489"/>
    <w:rsid w:val="00720BE2"/>
    <w:rsid w:val="0072716B"/>
    <w:rsid w:val="0073136F"/>
    <w:rsid w:val="00732A44"/>
    <w:rsid w:val="00733014"/>
    <w:rsid w:val="007358A0"/>
    <w:rsid w:val="00736702"/>
    <w:rsid w:val="007536DE"/>
    <w:rsid w:val="007578B3"/>
    <w:rsid w:val="00757F52"/>
    <w:rsid w:val="007A2154"/>
    <w:rsid w:val="007A46A8"/>
    <w:rsid w:val="007B0339"/>
    <w:rsid w:val="007B1353"/>
    <w:rsid w:val="007B5E69"/>
    <w:rsid w:val="007C2167"/>
    <w:rsid w:val="007D21CD"/>
    <w:rsid w:val="007D291B"/>
    <w:rsid w:val="007E1F31"/>
    <w:rsid w:val="007E703C"/>
    <w:rsid w:val="007F4404"/>
    <w:rsid w:val="008023F3"/>
    <w:rsid w:val="00802778"/>
    <w:rsid w:val="00810CC2"/>
    <w:rsid w:val="00817D15"/>
    <w:rsid w:val="00820163"/>
    <w:rsid w:val="008238DB"/>
    <w:rsid w:val="0082546E"/>
    <w:rsid w:val="00842C58"/>
    <w:rsid w:val="008469D6"/>
    <w:rsid w:val="00862251"/>
    <w:rsid w:val="00862361"/>
    <w:rsid w:val="0086284F"/>
    <w:rsid w:val="0086368C"/>
    <w:rsid w:val="00863E30"/>
    <w:rsid w:val="00875A3E"/>
    <w:rsid w:val="008810D9"/>
    <w:rsid w:val="008824EF"/>
    <w:rsid w:val="00886F04"/>
    <w:rsid w:val="0089228C"/>
    <w:rsid w:val="008930B4"/>
    <w:rsid w:val="008A6FCE"/>
    <w:rsid w:val="008A71FA"/>
    <w:rsid w:val="008B09BC"/>
    <w:rsid w:val="008B2CCD"/>
    <w:rsid w:val="008B315E"/>
    <w:rsid w:val="008D4D38"/>
    <w:rsid w:val="008D4E68"/>
    <w:rsid w:val="008F4656"/>
    <w:rsid w:val="00902ABF"/>
    <w:rsid w:val="00910629"/>
    <w:rsid w:val="00920CC5"/>
    <w:rsid w:val="00922867"/>
    <w:rsid w:val="00927F9C"/>
    <w:rsid w:val="009325E7"/>
    <w:rsid w:val="00946204"/>
    <w:rsid w:val="0095700C"/>
    <w:rsid w:val="0096503B"/>
    <w:rsid w:val="00967F7A"/>
    <w:rsid w:val="009741FC"/>
    <w:rsid w:val="0098017D"/>
    <w:rsid w:val="00980C38"/>
    <w:rsid w:val="00984301"/>
    <w:rsid w:val="00992E1B"/>
    <w:rsid w:val="00997B4E"/>
    <w:rsid w:val="009A1033"/>
    <w:rsid w:val="009B2772"/>
    <w:rsid w:val="009C31E4"/>
    <w:rsid w:val="009D1392"/>
    <w:rsid w:val="009E2448"/>
    <w:rsid w:val="009E3132"/>
    <w:rsid w:val="009E432E"/>
    <w:rsid w:val="009F5E5C"/>
    <w:rsid w:val="00A01FC0"/>
    <w:rsid w:val="00A02020"/>
    <w:rsid w:val="00A0538A"/>
    <w:rsid w:val="00A14E07"/>
    <w:rsid w:val="00A1682B"/>
    <w:rsid w:val="00A16F18"/>
    <w:rsid w:val="00A25E36"/>
    <w:rsid w:val="00A443C3"/>
    <w:rsid w:val="00A463A2"/>
    <w:rsid w:val="00A56B29"/>
    <w:rsid w:val="00A6178B"/>
    <w:rsid w:val="00A637C2"/>
    <w:rsid w:val="00A66AE7"/>
    <w:rsid w:val="00A7044B"/>
    <w:rsid w:val="00A73627"/>
    <w:rsid w:val="00A7730A"/>
    <w:rsid w:val="00A77AE0"/>
    <w:rsid w:val="00A819D4"/>
    <w:rsid w:val="00A87937"/>
    <w:rsid w:val="00A91E22"/>
    <w:rsid w:val="00A972C8"/>
    <w:rsid w:val="00AA312B"/>
    <w:rsid w:val="00AC0FC4"/>
    <w:rsid w:val="00AC6553"/>
    <w:rsid w:val="00AE1C12"/>
    <w:rsid w:val="00AE38C8"/>
    <w:rsid w:val="00B14A66"/>
    <w:rsid w:val="00B26F7F"/>
    <w:rsid w:val="00B31A64"/>
    <w:rsid w:val="00B32309"/>
    <w:rsid w:val="00B33A09"/>
    <w:rsid w:val="00B35A72"/>
    <w:rsid w:val="00B45796"/>
    <w:rsid w:val="00B50E54"/>
    <w:rsid w:val="00B64F23"/>
    <w:rsid w:val="00B65365"/>
    <w:rsid w:val="00B71316"/>
    <w:rsid w:val="00B853D9"/>
    <w:rsid w:val="00B87C44"/>
    <w:rsid w:val="00BA07E9"/>
    <w:rsid w:val="00BA1FFA"/>
    <w:rsid w:val="00BA328C"/>
    <w:rsid w:val="00BB60D9"/>
    <w:rsid w:val="00BC665B"/>
    <w:rsid w:val="00BD10CA"/>
    <w:rsid w:val="00BD236F"/>
    <w:rsid w:val="00BE67F2"/>
    <w:rsid w:val="00BF6B09"/>
    <w:rsid w:val="00C052D0"/>
    <w:rsid w:val="00C205D0"/>
    <w:rsid w:val="00C319BA"/>
    <w:rsid w:val="00C560E4"/>
    <w:rsid w:val="00C56F59"/>
    <w:rsid w:val="00C6657A"/>
    <w:rsid w:val="00C7053F"/>
    <w:rsid w:val="00C81DAD"/>
    <w:rsid w:val="00C82DE1"/>
    <w:rsid w:val="00C831B1"/>
    <w:rsid w:val="00C84E24"/>
    <w:rsid w:val="00C92C89"/>
    <w:rsid w:val="00CA05E8"/>
    <w:rsid w:val="00CA0AF7"/>
    <w:rsid w:val="00CA3A39"/>
    <w:rsid w:val="00CB1188"/>
    <w:rsid w:val="00CC0C48"/>
    <w:rsid w:val="00CC4EAF"/>
    <w:rsid w:val="00CE1046"/>
    <w:rsid w:val="00CE62CC"/>
    <w:rsid w:val="00D021C5"/>
    <w:rsid w:val="00D14DA5"/>
    <w:rsid w:val="00D54DC1"/>
    <w:rsid w:val="00D6523C"/>
    <w:rsid w:val="00D7296B"/>
    <w:rsid w:val="00D72DC9"/>
    <w:rsid w:val="00D8635D"/>
    <w:rsid w:val="00D95F35"/>
    <w:rsid w:val="00D961A9"/>
    <w:rsid w:val="00D966F4"/>
    <w:rsid w:val="00DA1B74"/>
    <w:rsid w:val="00DB64FF"/>
    <w:rsid w:val="00DC1264"/>
    <w:rsid w:val="00DC69DF"/>
    <w:rsid w:val="00DC6B5C"/>
    <w:rsid w:val="00DD0E94"/>
    <w:rsid w:val="00DD6E5A"/>
    <w:rsid w:val="00DE3036"/>
    <w:rsid w:val="00DE785F"/>
    <w:rsid w:val="00DF437A"/>
    <w:rsid w:val="00E01FC6"/>
    <w:rsid w:val="00E055BA"/>
    <w:rsid w:val="00E1114B"/>
    <w:rsid w:val="00E15031"/>
    <w:rsid w:val="00E321CB"/>
    <w:rsid w:val="00E3296E"/>
    <w:rsid w:val="00E37C16"/>
    <w:rsid w:val="00E40CC5"/>
    <w:rsid w:val="00E628A1"/>
    <w:rsid w:val="00E75EBA"/>
    <w:rsid w:val="00EA743C"/>
    <w:rsid w:val="00EB4473"/>
    <w:rsid w:val="00EB59E0"/>
    <w:rsid w:val="00EB7E48"/>
    <w:rsid w:val="00EC0296"/>
    <w:rsid w:val="00EC3470"/>
    <w:rsid w:val="00EC6ACE"/>
    <w:rsid w:val="00EC73F3"/>
    <w:rsid w:val="00ED0D8E"/>
    <w:rsid w:val="00EE040F"/>
    <w:rsid w:val="00EE5C4D"/>
    <w:rsid w:val="00F15627"/>
    <w:rsid w:val="00F161A3"/>
    <w:rsid w:val="00F205A0"/>
    <w:rsid w:val="00F26752"/>
    <w:rsid w:val="00F301C7"/>
    <w:rsid w:val="00F37EAB"/>
    <w:rsid w:val="00F50A06"/>
    <w:rsid w:val="00F60548"/>
    <w:rsid w:val="00F814B1"/>
    <w:rsid w:val="00F91AFD"/>
    <w:rsid w:val="00FA0072"/>
    <w:rsid w:val="00FC08C2"/>
    <w:rsid w:val="00FD25E2"/>
    <w:rsid w:val="00FE0A8F"/>
    <w:rsid w:val="00FF034D"/>
    <w:rsid w:val="00FF3BDA"/>
    <w:rsid w:val="00FF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2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C2"/>
    <w:pPr>
      <w:ind w:left="720"/>
      <w:contextualSpacing/>
    </w:pPr>
  </w:style>
  <w:style w:type="paragraph" w:styleId="BodyText">
    <w:name w:val="Body Text"/>
    <w:basedOn w:val="Normal"/>
    <w:link w:val="BodyTextChar"/>
    <w:uiPriority w:val="99"/>
    <w:semiHidden/>
    <w:unhideWhenUsed/>
    <w:rsid w:val="00810CC2"/>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810CC2"/>
    <w:rPr>
      <w:rFonts w:ascii="Cambria" w:eastAsia="MS Mincho" w:hAnsi="Cambria" w:cs="Times New Roman"/>
      <w:sz w:val="24"/>
      <w:szCs w:val="24"/>
      <w:lang w:eastAsia="ja-JP"/>
    </w:rPr>
  </w:style>
  <w:style w:type="paragraph" w:styleId="Title">
    <w:name w:val="Title"/>
    <w:basedOn w:val="Normal"/>
    <w:link w:val="TitleChar"/>
    <w:qFormat/>
    <w:rsid w:val="00810CC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CC2"/>
    <w:rPr>
      <w:rFonts w:ascii="Times New Roman" w:eastAsia="Times New Roman" w:hAnsi="Times New Roman" w:cs="Times New Roman"/>
      <w:sz w:val="24"/>
      <w:szCs w:val="20"/>
    </w:rPr>
  </w:style>
  <w:style w:type="paragraph" w:customStyle="1" w:styleId="Newpage">
    <w:name w:val="Newpage"/>
    <w:basedOn w:val="Normal"/>
    <w:rsid w:val="00810CC2"/>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Chapter">
    <w:name w:val="Chapter"/>
    <w:basedOn w:val="Normal"/>
    <w:next w:val="Normal"/>
    <w:link w:val="ChapterChar"/>
    <w:rsid w:val="00BA07E9"/>
    <w:pPr>
      <w:keepNext/>
      <w:numPr>
        <w:numId w:val="12"/>
      </w:numPr>
      <w:tabs>
        <w:tab w:val="left" w:pos="1440"/>
      </w:tabs>
      <w:spacing w:before="240" w:after="240" w:line="240" w:lineRule="auto"/>
      <w:jc w:val="center"/>
    </w:pPr>
    <w:rPr>
      <w:rFonts w:ascii="Times New Roman" w:eastAsiaTheme="minorEastAsia" w:hAnsi="Times New Roman" w:cs="Times New Roman"/>
      <w:b/>
      <w:smallCaps/>
      <w:sz w:val="24"/>
    </w:rPr>
  </w:style>
  <w:style w:type="character" w:customStyle="1" w:styleId="ChapterChar">
    <w:name w:val="Chapter Char"/>
    <w:basedOn w:val="DefaultParagraphFont"/>
    <w:link w:val="Chapter"/>
    <w:rsid w:val="00BA07E9"/>
    <w:rPr>
      <w:rFonts w:ascii="Times New Roman" w:eastAsiaTheme="minorEastAsia" w:hAnsi="Times New Roman" w:cs="Times New Roman"/>
      <w:b/>
      <w:smallCaps/>
      <w:sz w:val="24"/>
    </w:rPr>
  </w:style>
  <w:style w:type="paragraph" w:customStyle="1" w:styleId="Paragraph">
    <w:name w:val="Paragraph"/>
    <w:aliases w:val="paragraph,p,PARAGRAPH,PG,pa,at"/>
    <w:basedOn w:val="BodyTextIndent"/>
    <w:link w:val="ParagraphChar"/>
    <w:qFormat/>
    <w:rsid w:val="00BA07E9"/>
    <w:pPr>
      <w:numPr>
        <w:ilvl w:val="1"/>
        <w:numId w:val="12"/>
      </w:numPr>
      <w:spacing w:before="120" w:line="240" w:lineRule="auto"/>
      <w:jc w:val="both"/>
      <w:outlineLvl w:val="1"/>
    </w:pPr>
    <w:rPr>
      <w:rFonts w:ascii="Times New Roman" w:eastAsiaTheme="minorEastAsia" w:hAnsi="Times New Roman" w:cs="Times New Roman"/>
      <w:sz w:val="24"/>
    </w:rPr>
  </w:style>
  <w:style w:type="paragraph" w:styleId="BodyTextIndent">
    <w:name w:val="Body Text Indent"/>
    <w:basedOn w:val="Normal"/>
    <w:link w:val="BodyTextIndentChar"/>
    <w:uiPriority w:val="99"/>
    <w:semiHidden/>
    <w:unhideWhenUsed/>
    <w:rsid w:val="00BA07E9"/>
    <w:pPr>
      <w:spacing w:after="120"/>
      <w:ind w:left="360"/>
    </w:pPr>
  </w:style>
  <w:style w:type="character" w:customStyle="1" w:styleId="BodyTextIndentChar">
    <w:name w:val="Body Text Indent Char"/>
    <w:basedOn w:val="DefaultParagraphFont"/>
    <w:link w:val="BodyTextIndent"/>
    <w:uiPriority w:val="99"/>
    <w:semiHidden/>
    <w:rsid w:val="00BA07E9"/>
  </w:style>
  <w:style w:type="character" w:customStyle="1" w:styleId="ParagraphChar">
    <w:name w:val="Paragraph Char"/>
    <w:basedOn w:val="DefaultParagraphFont"/>
    <w:link w:val="Paragraph"/>
    <w:rsid w:val="00BA07E9"/>
    <w:rPr>
      <w:rFonts w:ascii="Times New Roman" w:eastAsiaTheme="minorEastAsia" w:hAnsi="Times New Roman" w:cs="Times New Roman"/>
      <w:sz w:val="24"/>
    </w:rPr>
  </w:style>
  <w:style w:type="paragraph" w:customStyle="1" w:styleId="subpar">
    <w:name w:val="subpar"/>
    <w:basedOn w:val="BodyTextIndent3"/>
    <w:link w:val="subparChar"/>
    <w:rsid w:val="00BA07E9"/>
    <w:pPr>
      <w:tabs>
        <w:tab w:val="num" w:pos="432"/>
      </w:tabs>
      <w:spacing w:before="120" w:line="240" w:lineRule="auto"/>
      <w:ind w:left="432" w:hanging="432"/>
      <w:jc w:val="both"/>
      <w:outlineLvl w:val="2"/>
    </w:pPr>
    <w:rPr>
      <w:rFonts w:ascii="Times New Roman" w:eastAsiaTheme="minorEastAsia" w:hAnsi="Times New Roman" w:cs="Times New Roman"/>
      <w:sz w:val="24"/>
    </w:rPr>
  </w:style>
  <w:style w:type="paragraph" w:styleId="BodyTextIndent3">
    <w:name w:val="Body Text Indent 3"/>
    <w:basedOn w:val="Normal"/>
    <w:link w:val="BodyTextIndent3Char"/>
    <w:uiPriority w:val="99"/>
    <w:semiHidden/>
    <w:unhideWhenUsed/>
    <w:rsid w:val="00BA07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07E9"/>
    <w:rPr>
      <w:sz w:val="16"/>
      <w:szCs w:val="16"/>
    </w:rPr>
  </w:style>
  <w:style w:type="character" w:customStyle="1" w:styleId="subparChar">
    <w:name w:val="subpar Char"/>
    <w:basedOn w:val="DefaultParagraphFont"/>
    <w:link w:val="subpar"/>
    <w:rsid w:val="00BA07E9"/>
    <w:rPr>
      <w:rFonts w:ascii="Times New Roman" w:eastAsiaTheme="minorEastAsia" w:hAnsi="Times New Roman" w:cs="Times New Roman"/>
      <w:sz w:val="24"/>
      <w:szCs w:val="16"/>
    </w:rPr>
  </w:style>
  <w:style w:type="paragraph" w:customStyle="1" w:styleId="SubSubPar">
    <w:name w:val="SubSubPar"/>
    <w:basedOn w:val="subpar"/>
    <w:link w:val="SubSubParChar"/>
    <w:rsid w:val="00BA07E9"/>
    <w:pPr>
      <w:numPr>
        <w:ilvl w:val="3"/>
      </w:numPr>
      <w:tabs>
        <w:tab w:val="left" w:pos="0"/>
        <w:tab w:val="num" w:pos="432"/>
      </w:tabs>
      <w:ind w:left="2880" w:hanging="360"/>
    </w:pPr>
  </w:style>
  <w:style w:type="character" w:customStyle="1" w:styleId="SubSubParChar">
    <w:name w:val="SubSubPar Char"/>
    <w:basedOn w:val="DefaultParagraphFont"/>
    <w:link w:val="SubSubPar"/>
    <w:rsid w:val="00BA07E9"/>
    <w:rPr>
      <w:rFonts w:ascii="Times New Roman" w:eastAsiaTheme="minorEastAsia" w:hAnsi="Times New Roman" w:cs="Times New Roman"/>
      <w:sz w:val="24"/>
      <w:szCs w:val="16"/>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qFormat/>
    <w:rsid w:val="00BA07E9"/>
    <w:pPr>
      <w:keepNext/>
      <w:keepLines/>
      <w:spacing w:after="120" w:line="240" w:lineRule="auto"/>
      <w:ind w:left="288" w:hanging="288"/>
      <w:jc w:val="both"/>
    </w:pPr>
    <w:rPr>
      <w:rFonts w:ascii="Times New Roman" w:eastAsiaTheme="minorEastAsia" w:hAnsi="Times New Roman" w:cs="Times New Roman"/>
      <w:spacing w:val="-3"/>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BA07E9"/>
    <w:rPr>
      <w:rFonts w:ascii="Times New Roman" w:eastAsiaTheme="minorEastAsia" w:hAnsi="Times New Roman" w:cs="Times New Roman"/>
      <w:spacing w:val="-3"/>
      <w:sz w:val="20"/>
      <w:szCs w:val="20"/>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BVI fnr"/>
    <w:basedOn w:val="DefaultParagraphFont"/>
    <w:uiPriority w:val="99"/>
    <w:rsid w:val="00BA07E9"/>
    <w:rPr>
      <w:vertAlign w:val="superscript"/>
    </w:rPr>
  </w:style>
  <w:style w:type="character" w:styleId="Hyperlink">
    <w:name w:val="Hyperlink"/>
    <w:basedOn w:val="DefaultParagraphFont"/>
    <w:uiPriority w:val="99"/>
    <w:unhideWhenUsed/>
    <w:rsid w:val="00E40CC5"/>
    <w:rPr>
      <w:color w:val="0000FF" w:themeColor="hyperlink"/>
      <w:u w:val="single"/>
    </w:rPr>
  </w:style>
  <w:style w:type="character" w:styleId="FollowedHyperlink">
    <w:name w:val="FollowedHyperlink"/>
    <w:basedOn w:val="DefaultParagraphFont"/>
    <w:uiPriority w:val="99"/>
    <w:semiHidden/>
    <w:unhideWhenUsed/>
    <w:rsid w:val="00E40CC5"/>
    <w:rPr>
      <w:color w:val="800080" w:themeColor="followedHyperlink"/>
      <w:u w:val="single"/>
    </w:rPr>
  </w:style>
  <w:style w:type="character" w:styleId="CommentReference">
    <w:name w:val="annotation reference"/>
    <w:basedOn w:val="DefaultParagraphFont"/>
    <w:uiPriority w:val="99"/>
    <w:semiHidden/>
    <w:unhideWhenUsed/>
    <w:rsid w:val="0096503B"/>
    <w:rPr>
      <w:sz w:val="16"/>
      <w:szCs w:val="16"/>
    </w:rPr>
  </w:style>
  <w:style w:type="paragraph" w:styleId="CommentText">
    <w:name w:val="annotation text"/>
    <w:basedOn w:val="Normal"/>
    <w:link w:val="CommentTextChar"/>
    <w:uiPriority w:val="99"/>
    <w:semiHidden/>
    <w:unhideWhenUsed/>
    <w:rsid w:val="0096503B"/>
    <w:pPr>
      <w:spacing w:line="240" w:lineRule="auto"/>
    </w:pPr>
    <w:rPr>
      <w:sz w:val="20"/>
      <w:szCs w:val="20"/>
    </w:rPr>
  </w:style>
  <w:style w:type="character" w:customStyle="1" w:styleId="CommentTextChar">
    <w:name w:val="Comment Text Char"/>
    <w:basedOn w:val="DefaultParagraphFont"/>
    <w:link w:val="CommentText"/>
    <w:uiPriority w:val="99"/>
    <w:semiHidden/>
    <w:rsid w:val="0096503B"/>
    <w:rPr>
      <w:sz w:val="20"/>
      <w:szCs w:val="20"/>
    </w:rPr>
  </w:style>
  <w:style w:type="paragraph" w:styleId="CommentSubject">
    <w:name w:val="annotation subject"/>
    <w:basedOn w:val="CommentText"/>
    <w:next w:val="CommentText"/>
    <w:link w:val="CommentSubjectChar"/>
    <w:uiPriority w:val="99"/>
    <w:semiHidden/>
    <w:unhideWhenUsed/>
    <w:rsid w:val="0096503B"/>
    <w:rPr>
      <w:b/>
      <w:bCs/>
    </w:rPr>
  </w:style>
  <w:style w:type="character" w:customStyle="1" w:styleId="CommentSubjectChar">
    <w:name w:val="Comment Subject Char"/>
    <w:basedOn w:val="CommentTextChar"/>
    <w:link w:val="CommentSubject"/>
    <w:uiPriority w:val="99"/>
    <w:semiHidden/>
    <w:rsid w:val="0096503B"/>
    <w:rPr>
      <w:b/>
      <w:bCs/>
      <w:sz w:val="20"/>
      <w:szCs w:val="20"/>
    </w:rPr>
  </w:style>
  <w:style w:type="paragraph" w:styleId="BalloonText">
    <w:name w:val="Balloon Text"/>
    <w:basedOn w:val="Normal"/>
    <w:link w:val="BalloonTextChar"/>
    <w:uiPriority w:val="99"/>
    <w:semiHidden/>
    <w:unhideWhenUsed/>
    <w:rsid w:val="0096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3B"/>
    <w:rPr>
      <w:rFonts w:ascii="Tahoma" w:hAnsi="Tahoma" w:cs="Tahoma"/>
      <w:sz w:val="16"/>
      <w:szCs w:val="16"/>
    </w:rPr>
  </w:style>
  <w:style w:type="table" w:styleId="TableGrid">
    <w:name w:val="Table Grid"/>
    <w:basedOn w:val="TableNormal"/>
    <w:uiPriority w:val="59"/>
    <w:rsid w:val="00BC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E6D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CC2"/>
    <w:pPr>
      <w:ind w:left="720"/>
      <w:contextualSpacing/>
    </w:pPr>
  </w:style>
  <w:style w:type="paragraph" w:styleId="BodyText">
    <w:name w:val="Body Text"/>
    <w:basedOn w:val="Normal"/>
    <w:link w:val="BodyTextChar"/>
    <w:uiPriority w:val="99"/>
    <w:semiHidden/>
    <w:unhideWhenUsed/>
    <w:rsid w:val="00810CC2"/>
    <w:pPr>
      <w:spacing w:after="120" w:line="240" w:lineRule="auto"/>
    </w:pPr>
    <w:rPr>
      <w:rFonts w:ascii="Cambria" w:eastAsia="MS Mincho" w:hAnsi="Cambria" w:cs="Times New Roman"/>
      <w:sz w:val="24"/>
      <w:szCs w:val="24"/>
      <w:lang w:eastAsia="ja-JP"/>
    </w:rPr>
  </w:style>
  <w:style w:type="character" w:customStyle="1" w:styleId="BodyTextChar">
    <w:name w:val="Body Text Char"/>
    <w:basedOn w:val="DefaultParagraphFont"/>
    <w:link w:val="BodyText"/>
    <w:uiPriority w:val="99"/>
    <w:semiHidden/>
    <w:rsid w:val="00810CC2"/>
    <w:rPr>
      <w:rFonts w:ascii="Cambria" w:eastAsia="MS Mincho" w:hAnsi="Cambria" w:cs="Times New Roman"/>
      <w:sz w:val="24"/>
      <w:szCs w:val="24"/>
      <w:lang w:eastAsia="ja-JP"/>
    </w:rPr>
  </w:style>
  <w:style w:type="paragraph" w:styleId="Title">
    <w:name w:val="Title"/>
    <w:basedOn w:val="Normal"/>
    <w:link w:val="TitleChar"/>
    <w:qFormat/>
    <w:rsid w:val="00810CC2"/>
    <w:pPr>
      <w:tabs>
        <w:tab w:val="left" w:pos="1440"/>
        <w:tab w:val="left" w:pos="3060"/>
      </w:tabs>
      <w:spacing w:after="0" w:line="240" w:lineRule="auto"/>
      <w:jc w:val="center"/>
      <w:outlineLvl w:val="0"/>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810CC2"/>
    <w:rPr>
      <w:rFonts w:ascii="Times New Roman" w:eastAsia="Times New Roman" w:hAnsi="Times New Roman" w:cs="Times New Roman"/>
      <w:sz w:val="24"/>
      <w:szCs w:val="20"/>
    </w:rPr>
  </w:style>
  <w:style w:type="paragraph" w:customStyle="1" w:styleId="Newpage">
    <w:name w:val="Newpage"/>
    <w:basedOn w:val="Normal"/>
    <w:rsid w:val="00810CC2"/>
    <w:pPr>
      <w:tabs>
        <w:tab w:val="left" w:pos="1440"/>
        <w:tab w:val="left" w:pos="3060"/>
      </w:tabs>
      <w:spacing w:after="0" w:line="240" w:lineRule="auto"/>
      <w:jc w:val="center"/>
    </w:pPr>
    <w:rPr>
      <w:rFonts w:ascii="Times New Roman" w:eastAsia="Times New Roman" w:hAnsi="Times New Roman" w:cs="Arial"/>
      <w:b/>
      <w:smallCaps/>
      <w:sz w:val="24"/>
      <w:szCs w:val="20"/>
    </w:rPr>
  </w:style>
  <w:style w:type="paragraph" w:customStyle="1" w:styleId="Chapter">
    <w:name w:val="Chapter"/>
    <w:basedOn w:val="Normal"/>
    <w:next w:val="Normal"/>
    <w:link w:val="ChapterChar"/>
    <w:rsid w:val="00BA07E9"/>
    <w:pPr>
      <w:keepNext/>
      <w:numPr>
        <w:numId w:val="12"/>
      </w:numPr>
      <w:tabs>
        <w:tab w:val="left" w:pos="1440"/>
      </w:tabs>
      <w:spacing w:before="240" w:after="240" w:line="240" w:lineRule="auto"/>
      <w:jc w:val="center"/>
    </w:pPr>
    <w:rPr>
      <w:rFonts w:ascii="Times New Roman" w:eastAsiaTheme="minorEastAsia" w:hAnsi="Times New Roman" w:cs="Times New Roman"/>
      <w:b/>
      <w:smallCaps/>
      <w:sz w:val="24"/>
    </w:rPr>
  </w:style>
  <w:style w:type="character" w:customStyle="1" w:styleId="ChapterChar">
    <w:name w:val="Chapter Char"/>
    <w:basedOn w:val="DefaultParagraphFont"/>
    <w:link w:val="Chapter"/>
    <w:rsid w:val="00BA07E9"/>
    <w:rPr>
      <w:rFonts w:ascii="Times New Roman" w:eastAsiaTheme="minorEastAsia" w:hAnsi="Times New Roman" w:cs="Times New Roman"/>
      <w:b/>
      <w:smallCaps/>
      <w:sz w:val="24"/>
    </w:rPr>
  </w:style>
  <w:style w:type="paragraph" w:customStyle="1" w:styleId="Paragraph">
    <w:name w:val="Paragraph"/>
    <w:aliases w:val="paragraph,p,PARAGRAPH,PG,pa,at"/>
    <w:basedOn w:val="BodyTextIndent"/>
    <w:link w:val="ParagraphChar"/>
    <w:qFormat/>
    <w:rsid w:val="00BA07E9"/>
    <w:pPr>
      <w:numPr>
        <w:ilvl w:val="1"/>
        <w:numId w:val="12"/>
      </w:numPr>
      <w:spacing w:before="120" w:line="240" w:lineRule="auto"/>
      <w:jc w:val="both"/>
      <w:outlineLvl w:val="1"/>
    </w:pPr>
    <w:rPr>
      <w:rFonts w:ascii="Times New Roman" w:eastAsiaTheme="minorEastAsia" w:hAnsi="Times New Roman" w:cs="Times New Roman"/>
      <w:sz w:val="24"/>
    </w:rPr>
  </w:style>
  <w:style w:type="paragraph" w:styleId="BodyTextIndent">
    <w:name w:val="Body Text Indent"/>
    <w:basedOn w:val="Normal"/>
    <w:link w:val="BodyTextIndentChar"/>
    <w:uiPriority w:val="99"/>
    <w:semiHidden/>
    <w:unhideWhenUsed/>
    <w:rsid w:val="00BA07E9"/>
    <w:pPr>
      <w:spacing w:after="120"/>
      <w:ind w:left="360"/>
    </w:pPr>
  </w:style>
  <w:style w:type="character" w:customStyle="1" w:styleId="BodyTextIndentChar">
    <w:name w:val="Body Text Indent Char"/>
    <w:basedOn w:val="DefaultParagraphFont"/>
    <w:link w:val="BodyTextIndent"/>
    <w:uiPriority w:val="99"/>
    <w:semiHidden/>
    <w:rsid w:val="00BA07E9"/>
  </w:style>
  <w:style w:type="character" w:customStyle="1" w:styleId="ParagraphChar">
    <w:name w:val="Paragraph Char"/>
    <w:basedOn w:val="DefaultParagraphFont"/>
    <w:link w:val="Paragraph"/>
    <w:rsid w:val="00BA07E9"/>
    <w:rPr>
      <w:rFonts w:ascii="Times New Roman" w:eastAsiaTheme="minorEastAsia" w:hAnsi="Times New Roman" w:cs="Times New Roman"/>
      <w:sz w:val="24"/>
    </w:rPr>
  </w:style>
  <w:style w:type="paragraph" w:customStyle="1" w:styleId="subpar">
    <w:name w:val="subpar"/>
    <w:basedOn w:val="BodyTextIndent3"/>
    <w:link w:val="subparChar"/>
    <w:rsid w:val="00BA07E9"/>
    <w:pPr>
      <w:tabs>
        <w:tab w:val="num" w:pos="432"/>
      </w:tabs>
      <w:spacing w:before="120" w:line="240" w:lineRule="auto"/>
      <w:ind w:left="432" w:hanging="432"/>
      <w:jc w:val="both"/>
      <w:outlineLvl w:val="2"/>
    </w:pPr>
    <w:rPr>
      <w:rFonts w:ascii="Times New Roman" w:eastAsiaTheme="minorEastAsia" w:hAnsi="Times New Roman" w:cs="Times New Roman"/>
      <w:sz w:val="24"/>
    </w:rPr>
  </w:style>
  <w:style w:type="paragraph" w:styleId="BodyTextIndent3">
    <w:name w:val="Body Text Indent 3"/>
    <w:basedOn w:val="Normal"/>
    <w:link w:val="BodyTextIndent3Char"/>
    <w:uiPriority w:val="99"/>
    <w:semiHidden/>
    <w:unhideWhenUsed/>
    <w:rsid w:val="00BA07E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07E9"/>
    <w:rPr>
      <w:sz w:val="16"/>
      <w:szCs w:val="16"/>
    </w:rPr>
  </w:style>
  <w:style w:type="character" w:customStyle="1" w:styleId="subparChar">
    <w:name w:val="subpar Char"/>
    <w:basedOn w:val="DefaultParagraphFont"/>
    <w:link w:val="subpar"/>
    <w:rsid w:val="00BA07E9"/>
    <w:rPr>
      <w:rFonts w:ascii="Times New Roman" w:eastAsiaTheme="minorEastAsia" w:hAnsi="Times New Roman" w:cs="Times New Roman"/>
      <w:sz w:val="24"/>
      <w:szCs w:val="16"/>
    </w:rPr>
  </w:style>
  <w:style w:type="paragraph" w:customStyle="1" w:styleId="SubSubPar">
    <w:name w:val="SubSubPar"/>
    <w:basedOn w:val="subpar"/>
    <w:link w:val="SubSubParChar"/>
    <w:rsid w:val="00BA07E9"/>
    <w:pPr>
      <w:numPr>
        <w:ilvl w:val="3"/>
      </w:numPr>
      <w:tabs>
        <w:tab w:val="left" w:pos="0"/>
        <w:tab w:val="num" w:pos="432"/>
      </w:tabs>
      <w:ind w:left="2880" w:hanging="360"/>
    </w:pPr>
  </w:style>
  <w:style w:type="character" w:customStyle="1" w:styleId="SubSubParChar">
    <w:name w:val="SubSubPar Char"/>
    <w:basedOn w:val="DefaultParagraphFont"/>
    <w:link w:val="SubSubPar"/>
    <w:rsid w:val="00BA07E9"/>
    <w:rPr>
      <w:rFonts w:ascii="Times New Roman" w:eastAsiaTheme="minorEastAsia" w:hAnsi="Times New Roman" w:cs="Times New Roman"/>
      <w:sz w:val="24"/>
      <w:szCs w:val="16"/>
    </w:rPr>
  </w:style>
  <w:style w:type="paragraph" w:styleId="FootnoteText">
    <w:name w:val="footnote text"/>
    <w:aliases w:val="fn,Texto nota pie IIRSA,ft,Footnote Text Char Char Char Char Char Char,Footnote Text Char Char Char Char1,Footnote Text Char Char Char Char Char1,Footnote Text Char Char Char Char Char,Footnote Text Char Char Char,f,footno,single space"/>
    <w:basedOn w:val="Normal"/>
    <w:link w:val="FootnoteTextChar"/>
    <w:uiPriority w:val="99"/>
    <w:qFormat/>
    <w:rsid w:val="00BA07E9"/>
    <w:pPr>
      <w:keepNext/>
      <w:keepLines/>
      <w:spacing w:after="120" w:line="240" w:lineRule="auto"/>
      <w:ind w:left="288" w:hanging="288"/>
      <w:jc w:val="both"/>
    </w:pPr>
    <w:rPr>
      <w:rFonts w:ascii="Times New Roman" w:eastAsiaTheme="minorEastAsia" w:hAnsi="Times New Roman" w:cs="Times New Roman"/>
      <w:spacing w:val="-3"/>
      <w:sz w:val="20"/>
      <w:szCs w:val="20"/>
    </w:rPr>
  </w:style>
  <w:style w:type="character" w:customStyle="1" w:styleId="FootnoteTextChar">
    <w:name w:val="Footnote Text Char"/>
    <w:aliases w:val="fn Char,Texto nota pie IIRSA Char,ft Char,Footnote Text Char Char Char Char Char Char Char,Footnote Text Char Char Char Char1 Char,Footnote Text Char Char Char Char Char1 Char,Footnote Text Char Char Char Char Char Char1,f Char"/>
    <w:basedOn w:val="DefaultParagraphFont"/>
    <w:link w:val="FootnoteText"/>
    <w:uiPriority w:val="99"/>
    <w:rsid w:val="00BA07E9"/>
    <w:rPr>
      <w:rFonts w:ascii="Times New Roman" w:eastAsiaTheme="minorEastAsia" w:hAnsi="Times New Roman" w:cs="Times New Roman"/>
      <w:spacing w:val="-3"/>
      <w:sz w:val="20"/>
      <w:szCs w:val="20"/>
    </w:rPr>
  </w:style>
  <w:style w:type="character" w:styleId="FootnoteReference">
    <w:name w:val="footnote reference"/>
    <w:aliases w:val="ftref,titulo 2,FC,referencia nota al pie,Fußnotenzeichen DISS,Footnote Reference Number,Footnote Reference_LVL6,Footnote Reference_LVL61,Footnote Reference_LVL62,Footnote Reference_LVL63,Footnote Reference_LVL64,16 Point,BVI fnr"/>
    <w:basedOn w:val="DefaultParagraphFont"/>
    <w:uiPriority w:val="99"/>
    <w:rsid w:val="00BA07E9"/>
    <w:rPr>
      <w:vertAlign w:val="superscript"/>
    </w:rPr>
  </w:style>
  <w:style w:type="character" w:styleId="Hyperlink">
    <w:name w:val="Hyperlink"/>
    <w:basedOn w:val="DefaultParagraphFont"/>
    <w:uiPriority w:val="99"/>
    <w:unhideWhenUsed/>
    <w:rsid w:val="00E40CC5"/>
    <w:rPr>
      <w:color w:val="0000FF" w:themeColor="hyperlink"/>
      <w:u w:val="single"/>
    </w:rPr>
  </w:style>
  <w:style w:type="character" w:styleId="FollowedHyperlink">
    <w:name w:val="FollowedHyperlink"/>
    <w:basedOn w:val="DefaultParagraphFont"/>
    <w:uiPriority w:val="99"/>
    <w:semiHidden/>
    <w:unhideWhenUsed/>
    <w:rsid w:val="00E40CC5"/>
    <w:rPr>
      <w:color w:val="800080" w:themeColor="followedHyperlink"/>
      <w:u w:val="single"/>
    </w:rPr>
  </w:style>
  <w:style w:type="character" w:styleId="CommentReference">
    <w:name w:val="annotation reference"/>
    <w:basedOn w:val="DefaultParagraphFont"/>
    <w:uiPriority w:val="99"/>
    <w:semiHidden/>
    <w:unhideWhenUsed/>
    <w:rsid w:val="0096503B"/>
    <w:rPr>
      <w:sz w:val="16"/>
      <w:szCs w:val="16"/>
    </w:rPr>
  </w:style>
  <w:style w:type="paragraph" w:styleId="CommentText">
    <w:name w:val="annotation text"/>
    <w:basedOn w:val="Normal"/>
    <w:link w:val="CommentTextChar"/>
    <w:uiPriority w:val="99"/>
    <w:semiHidden/>
    <w:unhideWhenUsed/>
    <w:rsid w:val="0096503B"/>
    <w:pPr>
      <w:spacing w:line="240" w:lineRule="auto"/>
    </w:pPr>
    <w:rPr>
      <w:sz w:val="20"/>
      <w:szCs w:val="20"/>
    </w:rPr>
  </w:style>
  <w:style w:type="character" w:customStyle="1" w:styleId="CommentTextChar">
    <w:name w:val="Comment Text Char"/>
    <w:basedOn w:val="DefaultParagraphFont"/>
    <w:link w:val="CommentText"/>
    <w:uiPriority w:val="99"/>
    <w:semiHidden/>
    <w:rsid w:val="0096503B"/>
    <w:rPr>
      <w:sz w:val="20"/>
      <w:szCs w:val="20"/>
    </w:rPr>
  </w:style>
  <w:style w:type="paragraph" w:styleId="CommentSubject">
    <w:name w:val="annotation subject"/>
    <w:basedOn w:val="CommentText"/>
    <w:next w:val="CommentText"/>
    <w:link w:val="CommentSubjectChar"/>
    <w:uiPriority w:val="99"/>
    <w:semiHidden/>
    <w:unhideWhenUsed/>
    <w:rsid w:val="0096503B"/>
    <w:rPr>
      <w:b/>
      <w:bCs/>
    </w:rPr>
  </w:style>
  <w:style w:type="character" w:customStyle="1" w:styleId="CommentSubjectChar">
    <w:name w:val="Comment Subject Char"/>
    <w:basedOn w:val="CommentTextChar"/>
    <w:link w:val="CommentSubject"/>
    <w:uiPriority w:val="99"/>
    <w:semiHidden/>
    <w:rsid w:val="0096503B"/>
    <w:rPr>
      <w:b/>
      <w:bCs/>
      <w:sz w:val="20"/>
      <w:szCs w:val="20"/>
    </w:rPr>
  </w:style>
  <w:style w:type="paragraph" w:styleId="BalloonText">
    <w:name w:val="Balloon Text"/>
    <w:basedOn w:val="Normal"/>
    <w:link w:val="BalloonTextChar"/>
    <w:uiPriority w:val="99"/>
    <w:semiHidden/>
    <w:unhideWhenUsed/>
    <w:rsid w:val="00965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03B"/>
    <w:rPr>
      <w:rFonts w:ascii="Tahoma" w:hAnsi="Tahoma" w:cs="Tahoma"/>
      <w:sz w:val="16"/>
      <w:szCs w:val="16"/>
    </w:rPr>
  </w:style>
  <w:style w:type="table" w:styleId="TableGrid">
    <w:name w:val="Table Grid"/>
    <w:basedOn w:val="TableNormal"/>
    <w:uiPriority w:val="59"/>
    <w:rsid w:val="00BC6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E6D8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3107">
      <w:bodyDiv w:val="1"/>
      <w:marLeft w:val="0"/>
      <w:marRight w:val="0"/>
      <w:marTop w:val="0"/>
      <w:marBottom w:val="0"/>
      <w:divBdr>
        <w:top w:val="none" w:sz="0" w:space="0" w:color="auto"/>
        <w:left w:val="none" w:sz="0" w:space="0" w:color="auto"/>
        <w:bottom w:val="none" w:sz="0" w:space="0" w:color="auto"/>
        <w:right w:val="none" w:sz="0" w:space="0" w:color="auto"/>
      </w:divBdr>
    </w:div>
    <w:div w:id="377825259">
      <w:bodyDiv w:val="1"/>
      <w:marLeft w:val="0"/>
      <w:marRight w:val="0"/>
      <w:marTop w:val="0"/>
      <w:marBottom w:val="0"/>
      <w:divBdr>
        <w:top w:val="none" w:sz="0" w:space="0" w:color="auto"/>
        <w:left w:val="none" w:sz="0" w:space="0" w:color="auto"/>
        <w:bottom w:val="none" w:sz="0" w:space="0" w:color="auto"/>
        <w:right w:val="none" w:sz="0" w:space="0" w:color="auto"/>
      </w:divBdr>
    </w:div>
    <w:div w:id="1026324782">
      <w:bodyDiv w:val="1"/>
      <w:marLeft w:val="0"/>
      <w:marRight w:val="0"/>
      <w:marTop w:val="0"/>
      <w:marBottom w:val="0"/>
      <w:divBdr>
        <w:top w:val="none" w:sz="0" w:space="0" w:color="auto"/>
        <w:left w:val="none" w:sz="0" w:space="0" w:color="auto"/>
        <w:bottom w:val="none" w:sz="0" w:space="0" w:color="auto"/>
        <w:right w:val="none" w:sz="0" w:space="0" w:color="auto"/>
      </w:divBdr>
    </w:div>
    <w:div w:id="1405107335">
      <w:bodyDiv w:val="1"/>
      <w:marLeft w:val="0"/>
      <w:marRight w:val="0"/>
      <w:marTop w:val="0"/>
      <w:marBottom w:val="0"/>
      <w:divBdr>
        <w:top w:val="none" w:sz="0" w:space="0" w:color="auto"/>
        <w:left w:val="none" w:sz="0" w:space="0" w:color="auto"/>
        <w:bottom w:val="none" w:sz="0" w:space="0" w:color="auto"/>
        <w:right w:val="none" w:sz="0" w:space="0" w:color="auto"/>
      </w:divBdr>
    </w:div>
    <w:div w:id="1488938706">
      <w:bodyDiv w:val="1"/>
      <w:marLeft w:val="0"/>
      <w:marRight w:val="0"/>
      <w:marTop w:val="0"/>
      <w:marBottom w:val="0"/>
      <w:divBdr>
        <w:top w:val="none" w:sz="0" w:space="0" w:color="auto"/>
        <w:left w:val="none" w:sz="0" w:space="0" w:color="auto"/>
        <w:bottom w:val="none" w:sz="0" w:space="0" w:color="auto"/>
        <w:right w:val="none" w:sz="0" w:space="0" w:color="auto"/>
      </w:divBdr>
    </w:div>
    <w:div w:id="173770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hyperlink" Target="http://en.wikipedia.org/wiki/Nameplate_capacity" TargetMode="External"/><Relationship Id="rId4" Type="http://schemas.microsoft.com/office/2007/relationships/stylesWithEffects" Target="stylesWithEffects.xml"/><Relationship Id="rId9" Type="http://schemas.openxmlformats.org/officeDocument/2006/relationships/hyperlink" Target="http://en.wikipedia.org/wiki/Power_plant"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idbdocs.iadb.org/wsdocs/getdocument.aspx?docnum=39861426" TargetMode="External"/><Relationship Id="rId3" Type="http://schemas.openxmlformats.org/officeDocument/2006/relationships/hyperlink" Target="http://idbdocs.iadb.org/wsdocs/getdocument.aspx?docnum=39861426" TargetMode="External"/><Relationship Id="rId7" Type="http://schemas.openxmlformats.org/officeDocument/2006/relationships/hyperlink" Target="http://www.synapse-energy.com/sites/default/files/2015%20Carbon%20Dioxide%20Price%20Report.pdf" TargetMode="External"/><Relationship Id="rId2" Type="http://schemas.openxmlformats.org/officeDocument/2006/relationships/hyperlink" Target="http://www.upme.gov.co/Docs/Boletin_Estad_Minas_Energy_2008_2012.pdf" TargetMode="External"/><Relationship Id="rId1" Type="http://schemas.openxmlformats.org/officeDocument/2006/relationships/hyperlink" Target="http://www.creg.gov.co/phocadownload/publicaciones/propuesta%20para%20remunerar%20el%20servicio%20de%20energa%20elctrica%20en%20las%20zni.pdf" TargetMode="External"/><Relationship Id="rId6" Type="http://schemas.openxmlformats.org/officeDocument/2006/relationships/hyperlink" Target="https://www.eex.com/en/market-data/emission-allowances/spot-market/european-emission-allowances" TargetMode="External"/><Relationship Id="rId5" Type="http://schemas.openxmlformats.org/officeDocument/2006/relationships/hyperlink" Target="http://www.si3ea.gov.co/Portals/2/plan.pdf" TargetMode="External"/><Relationship Id="rId4" Type="http://schemas.openxmlformats.org/officeDocument/2006/relationships/hyperlink" Target="http://investigaciones.bancolombia.com/inveconomicas/home/homeinfo.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AACD-75CA-4B1C-8DEC-733621D2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17</Pages>
  <Words>4000</Words>
  <Characters>22801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IADB</cp:lastModifiedBy>
  <cp:revision>21</cp:revision>
  <dcterms:created xsi:type="dcterms:W3CDTF">2015-10-01T13:01:00Z</dcterms:created>
  <dcterms:modified xsi:type="dcterms:W3CDTF">2015-10-07T19:45:00Z</dcterms:modified>
</cp:coreProperties>
</file>