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46" w:rsidRPr="00F479C9" w:rsidRDefault="00F479C9" w:rsidP="00E934A8">
      <w:pPr>
        <w:pStyle w:val="Ecotext"/>
        <w:jc w:val="center"/>
        <w:rPr>
          <w:rFonts w:ascii="Times New Roman" w:eastAsiaTheme="minorHAnsi" w:hAnsi="Times New Roman"/>
          <w:b/>
          <w:sz w:val="24"/>
          <w:szCs w:val="24"/>
          <w:lang w:val="en-US" w:eastAsia="en-US"/>
        </w:rPr>
      </w:pPr>
      <w:r w:rsidRPr="00F479C9">
        <w:rPr>
          <w:rFonts w:ascii="Times New Roman" w:eastAsiaTheme="minorHAnsi" w:hAnsi="Times New Roman"/>
          <w:b/>
          <w:sz w:val="24"/>
          <w:szCs w:val="24"/>
          <w:lang w:val="en-US" w:eastAsia="en-US"/>
        </w:rPr>
        <w:t>Characteristics of the Program</w:t>
      </w:r>
    </w:p>
    <w:p w:rsidR="007E0FF8" w:rsidRPr="004832EE" w:rsidRDefault="009B61F5" w:rsidP="004D30C3">
      <w:pPr>
        <w:pStyle w:val="Ecotext"/>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Colombia would benefit significantly from increased energy efficiency – but the market is currently underserved. </w:t>
      </w:r>
      <w:r w:rsidR="00F82DD5" w:rsidRPr="004832EE">
        <w:rPr>
          <w:rFonts w:ascii="Times New Roman" w:eastAsiaTheme="minorHAnsi" w:hAnsi="Times New Roman"/>
          <w:sz w:val="24"/>
          <w:szCs w:val="24"/>
          <w:lang w:val="en-US" w:eastAsia="en-US"/>
        </w:rPr>
        <w:t xml:space="preserve">The market studies </w:t>
      </w:r>
      <w:r w:rsidR="002C6BAD" w:rsidRPr="004832EE">
        <w:rPr>
          <w:rFonts w:ascii="Times New Roman" w:eastAsiaTheme="minorHAnsi" w:hAnsi="Times New Roman"/>
          <w:sz w:val="24"/>
          <w:szCs w:val="24"/>
          <w:lang w:val="en-US" w:eastAsia="en-US"/>
        </w:rPr>
        <w:t xml:space="preserve">on </w:t>
      </w:r>
      <w:r w:rsidR="00F82DD5" w:rsidRPr="004832EE">
        <w:rPr>
          <w:rFonts w:ascii="Times New Roman" w:eastAsiaTheme="minorHAnsi" w:hAnsi="Times New Roman"/>
          <w:sz w:val="24"/>
          <w:szCs w:val="24"/>
          <w:lang w:val="en-US" w:eastAsia="en-US"/>
        </w:rPr>
        <w:t xml:space="preserve">energy efficiency barriers undertaken </w:t>
      </w:r>
      <w:r w:rsidR="00270724" w:rsidRPr="004832EE">
        <w:rPr>
          <w:rFonts w:ascii="Times New Roman" w:eastAsiaTheme="minorHAnsi" w:hAnsi="Times New Roman"/>
          <w:sz w:val="24"/>
          <w:szCs w:val="24"/>
          <w:lang w:val="en-US" w:eastAsia="en-US"/>
        </w:rPr>
        <w:t xml:space="preserve">during the </w:t>
      </w:r>
      <w:r w:rsidR="00F82DD5" w:rsidRPr="004832EE">
        <w:rPr>
          <w:rFonts w:ascii="Times New Roman" w:eastAsiaTheme="minorHAnsi" w:hAnsi="Times New Roman"/>
          <w:sz w:val="24"/>
          <w:szCs w:val="24"/>
          <w:lang w:val="en-US" w:eastAsia="en-US"/>
        </w:rPr>
        <w:t xml:space="preserve">preparation of this operation identified that </w:t>
      </w:r>
      <w:r w:rsidR="00270724" w:rsidRPr="004832EE">
        <w:rPr>
          <w:rFonts w:ascii="Times New Roman" w:eastAsiaTheme="minorHAnsi" w:hAnsi="Times New Roman"/>
          <w:sz w:val="24"/>
          <w:szCs w:val="24"/>
          <w:lang w:val="en-US" w:eastAsia="en-US"/>
        </w:rPr>
        <w:t xml:space="preserve">one of the </w:t>
      </w:r>
      <w:r w:rsidR="00F82DD5" w:rsidRPr="004832EE">
        <w:rPr>
          <w:rFonts w:ascii="Times New Roman" w:eastAsiaTheme="minorHAnsi" w:hAnsi="Times New Roman"/>
          <w:sz w:val="24"/>
          <w:szCs w:val="24"/>
          <w:lang w:val="en-US" w:eastAsia="en-US"/>
        </w:rPr>
        <w:t>most important barrier</w:t>
      </w:r>
      <w:r w:rsidR="002C6BAD" w:rsidRPr="004832EE">
        <w:rPr>
          <w:rFonts w:ascii="Times New Roman" w:eastAsiaTheme="minorHAnsi" w:hAnsi="Times New Roman"/>
          <w:sz w:val="24"/>
          <w:szCs w:val="24"/>
          <w:lang w:val="en-US" w:eastAsia="en-US"/>
        </w:rPr>
        <w:t>s</w:t>
      </w:r>
      <w:r w:rsidR="00F82DD5" w:rsidRPr="004832EE">
        <w:rPr>
          <w:rFonts w:ascii="Times New Roman" w:eastAsiaTheme="minorHAnsi" w:hAnsi="Times New Roman"/>
          <w:sz w:val="24"/>
          <w:szCs w:val="24"/>
          <w:lang w:val="en-US" w:eastAsia="en-US"/>
        </w:rPr>
        <w:t xml:space="preserve"> for financing technologies was the lack of trust</w:t>
      </w:r>
      <w:r>
        <w:rPr>
          <w:rFonts w:ascii="Times New Roman" w:eastAsiaTheme="minorHAnsi" w:hAnsi="Times New Roman"/>
          <w:sz w:val="24"/>
          <w:szCs w:val="24"/>
          <w:lang w:val="en-US" w:eastAsia="en-US"/>
        </w:rPr>
        <w:t>:</w:t>
      </w:r>
      <w:r w:rsidR="00F82DD5" w:rsidRPr="004832EE">
        <w:rPr>
          <w:rFonts w:ascii="Times New Roman" w:eastAsiaTheme="minorHAnsi" w:hAnsi="Times New Roman"/>
          <w:sz w:val="24"/>
          <w:szCs w:val="24"/>
          <w:lang w:val="en-US" w:eastAsia="en-US"/>
        </w:rPr>
        <w:t xml:space="preserve"> </w:t>
      </w:r>
      <w:r w:rsidR="00270724" w:rsidRPr="004832EE">
        <w:rPr>
          <w:rFonts w:ascii="Times New Roman" w:eastAsiaTheme="minorHAnsi" w:hAnsi="Times New Roman"/>
          <w:sz w:val="24"/>
          <w:szCs w:val="24"/>
          <w:lang w:val="en-US" w:eastAsia="en-US"/>
        </w:rPr>
        <w:t xml:space="preserve">by </w:t>
      </w:r>
      <w:r w:rsidR="00F82DD5" w:rsidRPr="004832EE">
        <w:rPr>
          <w:rFonts w:ascii="Times New Roman" w:eastAsiaTheme="minorHAnsi" w:hAnsi="Times New Roman"/>
          <w:sz w:val="24"/>
          <w:szCs w:val="24"/>
          <w:lang w:val="en-US" w:eastAsia="en-US"/>
        </w:rPr>
        <w:t xml:space="preserve">potential </w:t>
      </w:r>
      <w:r w:rsidR="002C6BAD" w:rsidRPr="004832EE">
        <w:rPr>
          <w:rFonts w:ascii="Times New Roman" w:eastAsiaTheme="minorHAnsi" w:hAnsi="Times New Roman"/>
          <w:sz w:val="24"/>
          <w:szCs w:val="24"/>
          <w:lang w:val="en-US" w:eastAsia="en-US"/>
        </w:rPr>
        <w:t>beneficiaries</w:t>
      </w:r>
      <w:r w:rsidR="008264E1">
        <w:rPr>
          <w:rFonts w:ascii="Times New Roman" w:eastAsiaTheme="minorHAnsi" w:hAnsi="Times New Roman"/>
          <w:sz w:val="24"/>
          <w:szCs w:val="24"/>
          <w:lang w:val="en-US" w:eastAsia="en-US"/>
        </w:rPr>
        <w:t xml:space="preserve">.  They </w:t>
      </w:r>
      <w:r>
        <w:rPr>
          <w:rFonts w:ascii="Times New Roman" w:eastAsiaTheme="minorHAnsi" w:hAnsi="Times New Roman"/>
          <w:sz w:val="24"/>
          <w:szCs w:val="24"/>
          <w:lang w:val="en-US" w:eastAsia="en-US"/>
        </w:rPr>
        <w:t xml:space="preserve">did not </w:t>
      </w:r>
      <w:bookmarkStart w:id="0" w:name="_GoBack"/>
      <w:bookmarkEnd w:id="0"/>
      <w:r>
        <w:rPr>
          <w:rFonts w:ascii="Times New Roman" w:eastAsiaTheme="minorHAnsi" w:hAnsi="Times New Roman"/>
          <w:sz w:val="24"/>
          <w:szCs w:val="24"/>
          <w:lang w:val="en-US" w:eastAsia="en-US"/>
        </w:rPr>
        <w:t xml:space="preserve">believe </w:t>
      </w:r>
      <w:r w:rsidR="00F82DD5" w:rsidRPr="004832EE">
        <w:rPr>
          <w:rFonts w:ascii="Times New Roman" w:eastAsiaTheme="minorHAnsi" w:hAnsi="Times New Roman"/>
          <w:sz w:val="24"/>
          <w:szCs w:val="24"/>
          <w:lang w:val="en-US" w:eastAsia="en-US"/>
        </w:rPr>
        <w:t xml:space="preserve">that </w:t>
      </w:r>
      <w:r w:rsidR="002C6BAD" w:rsidRPr="004832EE">
        <w:rPr>
          <w:rFonts w:ascii="Times New Roman" w:eastAsiaTheme="minorHAnsi" w:hAnsi="Times New Roman"/>
          <w:sz w:val="24"/>
          <w:szCs w:val="24"/>
          <w:lang w:val="en-US" w:eastAsia="en-US"/>
        </w:rPr>
        <w:t xml:space="preserve">EE investments would actually </w:t>
      </w:r>
      <w:r w:rsidR="00F82DD5" w:rsidRPr="004832EE">
        <w:rPr>
          <w:rFonts w:ascii="Times New Roman" w:eastAsiaTheme="minorHAnsi" w:hAnsi="Times New Roman"/>
          <w:sz w:val="24"/>
          <w:szCs w:val="24"/>
          <w:lang w:val="en-US" w:eastAsia="en-US"/>
        </w:rPr>
        <w:t xml:space="preserve">result in </w:t>
      </w:r>
      <w:r w:rsidR="002C6BAD" w:rsidRPr="004832EE">
        <w:rPr>
          <w:rFonts w:ascii="Times New Roman" w:eastAsiaTheme="minorHAnsi" w:hAnsi="Times New Roman"/>
          <w:sz w:val="24"/>
          <w:szCs w:val="24"/>
          <w:lang w:val="en-US" w:eastAsia="en-US"/>
        </w:rPr>
        <w:t xml:space="preserve">enough </w:t>
      </w:r>
      <w:r w:rsidR="00F82DD5" w:rsidRPr="004832EE">
        <w:rPr>
          <w:rFonts w:ascii="Times New Roman" w:eastAsiaTheme="minorHAnsi" w:hAnsi="Times New Roman"/>
          <w:sz w:val="24"/>
          <w:szCs w:val="24"/>
          <w:lang w:val="en-US" w:eastAsia="en-US"/>
        </w:rPr>
        <w:t xml:space="preserve">energy savings </w:t>
      </w:r>
      <w:r w:rsidR="00270724" w:rsidRPr="004832EE">
        <w:rPr>
          <w:rFonts w:ascii="Times New Roman" w:eastAsiaTheme="minorHAnsi" w:hAnsi="Times New Roman"/>
          <w:sz w:val="24"/>
          <w:szCs w:val="24"/>
          <w:lang w:val="en-US" w:eastAsia="en-US"/>
        </w:rPr>
        <w:t xml:space="preserve">so as </w:t>
      </w:r>
      <w:r w:rsidR="002C6BAD" w:rsidRPr="004832EE">
        <w:rPr>
          <w:rFonts w:ascii="Times New Roman" w:eastAsiaTheme="minorHAnsi" w:hAnsi="Times New Roman"/>
          <w:sz w:val="24"/>
          <w:szCs w:val="24"/>
          <w:lang w:val="en-US" w:eastAsia="en-US"/>
        </w:rPr>
        <w:t xml:space="preserve">to </w:t>
      </w:r>
      <w:r w:rsidR="00270724" w:rsidRPr="004832EE">
        <w:rPr>
          <w:rFonts w:ascii="Times New Roman" w:eastAsiaTheme="minorHAnsi" w:hAnsi="Times New Roman"/>
          <w:sz w:val="24"/>
          <w:szCs w:val="24"/>
          <w:lang w:val="en-US" w:eastAsia="en-US"/>
        </w:rPr>
        <w:t xml:space="preserve">repay </w:t>
      </w:r>
      <w:r w:rsidR="00F82DD5" w:rsidRPr="004832EE">
        <w:rPr>
          <w:rFonts w:ascii="Times New Roman" w:eastAsiaTheme="minorHAnsi" w:hAnsi="Times New Roman"/>
          <w:sz w:val="24"/>
          <w:szCs w:val="24"/>
          <w:lang w:val="en-US" w:eastAsia="en-US"/>
        </w:rPr>
        <w:t xml:space="preserve">the initial investment in a reasonable </w:t>
      </w:r>
      <w:r w:rsidR="002C6BAD" w:rsidRPr="004832EE">
        <w:rPr>
          <w:rFonts w:ascii="Times New Roman" w:eastAsiaTheme="minorHAnsi" w:hAnsi="Times New Roman"/>
          <w:sz w:val="24"/>
          <w:szCs w:val="24"/>
          <w:lang w:val="en-US" w:eastAsia="en-US"/>
        </w:rPr>
        <w:t xml:space="preserve">period of </w:t>
      </w:r>
      <w:r w:rsidR="00F82DD5" w:rsidRPr="004832EE">
        <w:rPr>
          <w:rFonts w:ascii="Times New Roman" w:eastAsiaTheme="minorHAnsi" w:hAnsi="Times New Roman"/>
          <w:sz w:val="24"/>
          <w:szCs w:val="24"/>
          <w:lang w:val="en-US" w:eastAsia="en-US"/>
        </w:rPr>
        <w:t xml:space="preserve">time.  </w:t>
      </w:r>
    </w:p>
    <w:p w:rsidR="00F82DD5" w:rsidRPr="004832EE" w:rsidRDefault="00F82DD5" w:rsidP="004D30C3">
      <w:pPr>
        <w:pStyle w:val="Ecotext"/>
        <w:rPr>
          <w:rFonts w:ascii="Times New Roman" w:eastAsiaTheme="minorHAnsi" w:hAnsi="Times New Roman"/>
          <w:sz w:val="24"/>
          <w:szCs w:val="24"/>
          <w:lang w:val="en-US" w:eastAsia="en-US"/>
        </w:rPr>
      </w:pPr>
      <w:r w:rsidRPr="004832EE">
        <w:rPr>
          <w:rFonts w:ascii="Times New Roman" w:eastAsiaTheme="minorHAnsi" w:hAnsi="Times New Roman"/>
          <w:sz w:val="24"/>
          <w:szCs w:val="24"/>
          <w:lang w:val="en-US" w:eastAsia="en-US"/>
        </w:rPr>
        <w:t xml:space="preserve">Local Financial Institutions </w:t>
      </w:r>
      <w:r w:rsidR="00B1320B" w:rsidRPr="004832EE">
        <w:rPr>
          <w:rFonts w:ascii="Times New Roman" w:eastAsiaTheme="minorHAnsi" w:hAnsi="Times New Roman"/>
          <w:sz w:val="24"/>
          <w:szCs w:val="24"/>
          <w:lang w:val="en-US" w:eastAsia="en-US"/>
        </w:rPr>
        <w:t xml:space="preserve">(LFIs) </w:t>
      </w:r>
      <w:r w:rsidRPr="004832EE">
        <w:rPr>
          <w:rFonts w:ascii="Times New Roman" w:eastAsiaTheme="minorHAnsi" w:hAnsi="Times New Roman"/>
          <w:sz w:val="24"/>
          <w:szCs w:val="24"/>
          <w:lang w:val="en-US" w:eastAsia="en-US"/>
        </w:rPr>
        <w:t xml:space="preserve">also </w:t>
      </w:r>
      <w:r w:rsidR="007E0FF8" w:rsidRPr="004832EE">
        <w:rPr>
          <w:rFonts w:ascii="Times New Roman" w:eastAsiaTheme="minorHAnsi" w:hAnsi="Times New Roman"/>
          <w:sz w:val="24"/>
          <w:szCs w:val="24"/>
          <w:lang w:val="en-US" w:eastAsia="en-US"/>
        </w:rPr>
        <w:t xml:space="preserve">tend to apply a traditional “asset-based” lending approach </w:t>
      </w:r>
      <w:r w:rsidR="002C6BAD" w:rsidRPr="004832EE">
        <w:rPr>
          <w:rFonts w:ascii="Times New Roman" w:eastAsiaTheme="minorHAnsi" w:hAnsi="Times New Roman"/>
          <w:sz w:val="24"/>
          <w:szCs w:val="24"/>
          <w:lang w:val="en-US" w:eastAsia="en-US"/>
        </w:rPr>
        <w:t xml:space="preserve">when financing </w:t>
      </w:r>
      <w:r w:rsidR="007E0FF8" w:rsidRPr="004832EE">
        <w:rPr>
          <w:rFonts w:ascii="Times New Roman" w:eastAsiaTheme="minorHAnsi" w:hAnsi="Times New Roman"/>
          <w:sz w:val="24"/>
          <w:szCs w:val="24"/>
          <w:lang w:val="en-US" w:eastAsia="en-US"/>
        </w:rPr>
        <w:t xml:space="preserve">energy efficiency projects, limiting the loan amount to a maximum of 70%-80% of the value of assets financed (or collateral provided). Unfortunately, </w:t>
      </w:r>
      <w:r w:rsidR="00CC5F3F" w:rsidRPr="004832EE">
        <w:rPr>
          <w:rFonts w:ascii="Times New Roman" w:eastAsiaTheme="minorHAnsi" w:hAnsi="Times New Roman"/>
          <w:sz w:val="24"/>
          <w:szCs w:val="24"/>
          <w:lang w:val="en-US" w:eastAsia="en-US"/>
        </w:rPr>
        <w:t xml:space="preserve">LFIs give little or no collateral value to EE equipment. </w:t>
      </w:r>
      <w:r w:rsidR="007E0FF8" w:rsidRPr="004832EE">
        <w:rPr>
          <w:rFonts w:ascii="Times New Roman" w:eastAsiaTheme="minorHAnsi" w:hAnsi="Times New Roman"/>
          <w:sz w:val="24"/>
          <w:szCs w:val="24"/>
          <w:lang w:val="en-US" w:eastAsia="en-US"/>
        </w:rPr>
        <w:t xml:space="preserve"> </w:t>
      </w:r>
      <w:r w:rsidR="002C6BAD" w:rsidRPr="004832EE">
        <w:rPr>
          <w:rFonts w:ascii="Times New Roman" w:eastAsiaTheme="minorHAnsi" w:hAnsi="Times New Roman"/>
          <w:sz w:val="24"/>
          <w:szCs w:val="24"/>
          <w:lang w:val="en-US" w:eastAsia="en-US"/>
        </w:rPr>
        <w:t>Furthermore, e</w:t>
      </w:r>
      <w:r w:rsidR="00B1320B" w:rsidRPr="004832EE">
        <w:rPr>
          <w:rFonts w:ascii="Times New Roman" w:eastAsiaTheme="minorHAnsi" w:hAnsi="Times New Roman"/>
          <w:sz w:val="24"/>
          <w:szCs w:val="24"/>
          <w:lang w:val="en-US" w:eastAsia="en-US"/>
        </w:rPr>
        <w:t>ven though t</w:t>
      </w:r>
      <w:r w:rsidR="007E0FF8" w:rsidRPr="004832EE">
        <w:rPr>
          <w:rFonts w:ascii="Times New Roman" w:eastAsiaTheme="minorHAnsi" w:hAnsi="Times New Roman"/>
          <w:sz w:val="24"/>
          <w:szCs w:val="24"/>
          <w:lang w:val="en-US" w:eastAsia="en-US"/>
        </w:rPr>
        <w:t xml:space="preserve">here is significant value in the cash flow generated </w:t>
      </w:r>
      <w:r w:rsidR="00CC5F3F" w:rsidRPr="004832EE">
        <w:rPr>
          <w:rFonts w:ascii="Times New Roman" w:eastAsiaTheme="minorHAnsi" w:hAnsi="Times New Roman"/>
          <w:sz w:val="24"/>
          <w:szCs w:val="24"/>
          <w:lang w:val="en-US" w:eastAsia="en-US"/>
        </w:rPr>
        <w:t xml:space="preserve">by energy efficiency investment projects to </w:t>
      </w:r>
      <w:r w:rsidR="002C6BAD" w:rsidRPr="004832EE">
        <w:rPr>
          <w:rFonts w:ascii="Times New Roman" w:eastAsiaTheme="minorHAnsi" w:hAnsi="Times New Roman"/>
          <w:sz w:val="24"/>
          <w:szCs w:val="24"/>
          <w:lang w:val="en-US" w:eastAsia="en-US"/>
        </w:rPr>
        <w:t xml:space="preserve">investing </w:t>
      </w:r>
      <w:r w:rsidR="007E0FF8" w:rsidRPr="004832EE">
        <w:rPr>
          <w:rFonts w:ascii="Times New Roman" w:eastAsiaTheme="minorHAnsi" w:hAnsi="Times New Roman"/>
          <w:sz w:val="24"/>
          <w:szCs w:val="24"/>
          <w:lang w:val="en-US" w:eastAsia="en-US"/>
        </w:rPr>
        <w:t>firms</w:t>
      </w:r>
      <w:r w:rsidR="00CC5F3F" w:rsidRPr="004832EE">
        <w:rPr>
          <w:rFonts w:ascii="Times New Roman" w:eastAsiaTheme="minorHAnsi" w:hAnsi="Times New Roman"/>
          <w:sz w:val="24"/>
          <w:szCs w:val="24"/>
          <w:lang w:val="en-US" w:eastAsia="en-US"/>
        </w:rPr>
        <w:t>,</w:t>
      </w:r>
      <w:r w:rsidR="007E0FF8" w:rsidRPr="004832EE">
        <w:rPr>
          <w:rFonts w:ascii="Times New Roman" w:eastAsiaTheme="minorHAnsi" w:hAnsi="Times New Roman"/>
          <w:sz w:val="24"/>
          <w:szCs w:val="24"/>
          <w:lang w:val="en-US" w:eastAsia="en-US"/>
        </w:rPr>
        <w:t xml:space="preserve"> most LFIs </w:t>
      </w:r>
      <w:r w:rsidR="00CC5F3F" w:rsidRPr="004832EE">
        <w:rPr>
          <w:rFonts w:ascii="Times New Roman" w:eastAsiaTheme="minorHAnsi" w:hAnsi="Times New Roman"/>
          <w:sz w:val="24"/>
          <w:szCs w:val="24"/>
          <w:lang w:val="en-US" w:eastAsia="en-US"/>
        </w:rPr>
        <w:t xml:space="preserve">typically </w:t>
      </w:r>
      <w:r w:rsidR="007E0FF8" w:rsidRPr="004832EE">
        <w:rPr>
          <w:rFonts w:ascii="Times New Roman" w:eastAsiaTheme="minorHAnsi" w:hAnsi="Times New Roman"/>
          <w:sz w:val="24"/>
          <w:szCs w:val="24"/>
          <w:lang w:val="en-US" w:eastAsia="en-US"/>
        </w:rPr>
        <w:t>do not recognize and/or are not willing to rely upon th</w:t>
      </w:r>
      <w:r w:rsidR="00CC5F3F" w:rsidRPr="004832EE">
        <w:rPr>
          <w:rFonts w:ascii="Times New Roman" w:eastAsiaTheme="minorHAnsi" w:hAnsi="Times New Roman"/>
          <w:sz w:val="24"/>
          <w:szCs w:val="24"/>
          <w:lang w:val="en-US" w:eastAsia="en-US"/>
        </w:rPr>
        <w:t>at</w:t>
      </w:r>
      <w:r w:rsidR="007E0FF8" w:rsidRPr="004832EE">
        <w:rPr>
          <w:rFonts w:ascii="Times New Roman" w:eastAsiaTheme="minorHAnsi" w:hAnsi="Times New Roman"/>
          <w:sz w:val="24"/>
          <w:szCs w:val="24"/>
          <w:lang w:val="en-US" w:eastAsia="en-US"/>
        </w:rPr>
        <w:t xml:space="preserve"> cash flow as a basis for </w:t>
      </w:r>
      <w:r w:rsidR="002C6BAD" w:rsidRPr="004832EE">
        <w:rPr>
          <w:rFonts w:ascii="Times New Roman" w:eastAsiaTheme="minorHAnsi" w:hAnsi="Times New Roman"/>
          <w:sz w:val="24"/>
          <w:szCs w:val="24"/>
          <w:lang w:val="en-US" w:eastAsia="en-US"/>
        </w:rPr>
        <w:t xml:space="preserve">those firms </w:t>
      </w:r>
      <w:r w:rsidR="007E0FF8" w:rsidRPr="004832EE">
        <w:rPr>
          <w:rFonts w:ascii="Times New Roman" w:eastAsiaTheme="minorHAnsi" w:hAnsi="Times New Roman"/>
          <w:sz w:val="24"/>
          <w:szCs w:val="24"/>
          <w:lang w:val="en-US" w:eastAsia="en-US"/>
        </w:rPr>
        <w:t>to repay the</w:t>
      </w:r>
      <w:r w:rsidR="00CC5F3F" w:rsidRPr="004832EE">
        <w:rPr>
          <w:rFonts w:ascii="Times New Roman" w:eastAsiaTheme="minorHAnsi" w:hAnsi="Times New Roman"/>
          <w:sz w:val="24"/>
          <w:szCs w:val="24"/>
          <w:lang w:val="en-US" w:eastAsia="en-US"/>
        </w:rPr>
        <w:t xml:space="preserve">ir </w:t>
      </w:r>
      <w:r w:rsidR="007E0FF8" w:rsidRPr="004832EE">
        <w:rPr>
          <w:rFonts w:ascii="Times New Roman" w:eastAsiaTheme="minorHAnsi" w:hAnsi="Times New Roman"/>
          <w:sz w:val="24"/>
          <w:szCs w:val="24"/>
          <w:lang w:val="en-US" w:eastAsia="en-US"/>
        </w:rPr>
        <w:t xml:space="preserve">loans or increase their </w:t>
      </w:r>
      <w:r w:rsidR="00CC5F3F" w:rsidRPr="004832EE">
        <w:rPr>
          <w:rFonts w:ascii="Times New Roman" w:eastAsiaTheme="minorHAnsi" w:hAnsi="Times New Roman"/>
          <w:sz w:val="24"/>
          <w:szCs w:val="24"/>
          <w:lang w:val="en-US" w:eastAsia="en-US"/>
        </w:rPr>
        <w:t xml:space="preserve">borrowing </w:t>
      </w:r>
      <w:r w:rsidR="007E0FF8" w:rsidRPr="004832EE">
        <w:rPr>
          <w:rFonts w:ascii="Times New Roman" w:eastAsiaTheme="minorHAnsi" w:hAnsi="Times New Roman"/>
          <w:sz w:val="24"/>
          <w:szCs w:val="24"/>
          <w:lang w:val="en-US" w:eastAsia="en-US"/>
        </w:rPr>
        <w:t>capacity. Furthermore, even if they would accept to consider such value, the incapacity to validate the risk</w:t>
      </w:r>
      <w:r w:rsidR="00270724" w:rsidRPr="004832EE">
        <w:rPr>
          <w:rFonts w:ascii="Times New Roman" w:eastAsiaTheme="minorHAnsi" w:hAnsi="Times New Roman"/>
          <w:sz w:val="24"/>
          <w:szCs w:val="24"/>
          <w:lang w:val="en-US" w:eastAsia="en-US"/>
        </w:rPr>
        <w:t>s</w:t>
      </w:r>
      <w:r w:rsidR="007E0FF8" w:rsidRPr="004832EE">
        <w:rPr>
          <w:rFonts w:ascii="Times New Roman" w:eastAsiaTheme="minorHAnsi" w:hAnsi="Times New Roman"/>
          <w:sz w:val="24"/>
          <w:szCs w:val="24"/>
          <w:lang w:val="en-US" w:eastAsia="en-US"/>
        </w:rPr>
        <w:t xml:space="preserve"> involved in the </w:t>
      </w:r>
      <w:r w:rsidR="00BA3FB6" w:rsidRPr="004832EE">
        <w:rPr>
          <w:rFonts w:ascii="Times New Roman" w:eastAsiaTheme="minorHAnsi" w:hAnsi="Times New Roman"/>
          <w:sz w:val="24"/>
          <w:szCs w:val="24"/>
          <w:lang w:val="en-US" w:eastAsia="en-US"/>
        </w:rPr>
        <w:t xml:space="preserve">generation </w:t>
      </w:r>
      <w:r w:rsidR="007E0FF8" w:rsidRPr="004832EE">
        <w:rPr>
          <w:rFonts w:ascii="Times New Roman" w:eastAsiaTheme="minorHAnsi" w:hAnsi="Times New Roman"/>
          <w:sz w:val="24"/>
          <w:szCs w:val="24"/>
          <w:lang w:val="en-US" w:eastAsia="en-US"/>
        </w:rPr>
        <w:t xml:space="preserve">of these positive cash flows would still refrain them </w:t>
      </w:r>
      <w:r w:rsidR="002C6BAD" w:rsidRPr="004832EE">
        <w:rPr>
          <w:rFonts w:ascii="Times New Roman" w:eastAsiaTheme="minorHAnsi" w:hAnsi="Times New Roman"/>
          <w:sz w:val="24"/>
          <w:szCs w:val="24"/>
          <w:lang w:val="en-US" w:eastAsia="en-US"/>
        </w:rPr>
        <w:t xml:space="preserve">from considering </w:t>
      </w:r>
      <w:r w:rsidR="00B1320B" w:rsidRPr="004832EE">
        <w:rPr>
          <w:rFonts w:ascii="Times New Roman" w:eastAsiaTheme="minorHAnsi" w:hAnsi="Times New Roman"/>
          <w:sz w:val="24"/>
          <w:szCs w:val="24"/>
          <w:lang w:val="en-US" w:eastAsia="en-US"/>
        </w:rPr>
        <w:t>energy efficiency projects</w:t>
      </w:r>
      <w:r w:rsidR="007E0FF8" w:rsidRPr="004832EE">
        <w:rPr>
          <w:rFonts w:ascii="Times New Roman" w:eastAsiaTheme="minorHAnsi" w:hAnsi="Times New Roman"/>
          <w:sz w:val="24"/>
          <w:szCs w:val="24"/>
          <w:lang w:val="en-US" w:eastAsia="en-US"/>
        </w:rPr>
        <w:t xml:space="preserve"> as </w:t>
      </w:r>
      <w:r w:rsidR="00CC5F3F" w:rsidRPr="004832EE">
        <w:rPr>
          <w:rFonts w:ascii="Times New Roman" w:eastAsiaTheme="minorHAnsi" w:hAnsi="Times New Roman"/>
          <w:sz w:val="24"/>
          <w:szCs w:val="24"/>
          <w:lang w:val="en-US" w:eastAsia="en-US"/>
        </w:rPr>
        <w:t xml:space="preserve">financially viable business opportunities. </w:t>
      </w:r>
      <w:r w:rsidR="007E0FF8" w:rsidRPr="004832EE">
        <w:rPr>
          <w:rFonts w:ascii="Times New Roman" w:eastAsiaTheme="minorHAnsi" w:hAnsi="Times New Roman"/>
          <w:sz w:val="24"/>
          <w:szCs w:val="24"/>
          <w:lang w:val="en-US" w:eastAsia="en-US"/>
        </w:rPr>
        <w:t xml:space="preserve"> Consequently, LFIs</w:t>
      </w:r>
      <w:r w:rsidR="00CC5F3F" w:rsidRPr="004832EE">
        <w:rPr>
          <w:rFonts w:ascii="Times New Roman" w:eastAsiaTheme="minorHAnsi" w:hAnsi="Times New Roman"/>
          <w:sz w:val="24"/>
          <w:szCs w:val="24"/>
          <w:lang w:val="en-US" w:eastAsia="en-US"/>
        </w:rPr>
        <w:t xml:space="preserve"> tend to</w:t>
      </w:r>
      <w:r w:rsidR="007E0FF8" w:rsidRPr="004832EE">
        <w:rPr>
          <w:rFonts w:ascii="Times New Roman" w:eastAsiaTheme="minorHAnsi" w:hAnsi="Times New Roman"/>
          <w:sz w:val="24"/>
          <w:szCs w:val="24"/>
          <w:lang w:val="en-US" w:eastAsia="en-US"/>
        </w:rPr>
        <w:t xml:space="preserve"> assign little or no value to the cash flow generated</w:t>
      </w:r>
      <w:r w:rsidR="00CC5F3F" w:rsidRPr="004832EE">
        <w:rPr>
          <w:rFonts w:ascii="Times New Roman" w:eastAsiaTheme="minorHAnsi" w:hAnsi="Times New Roman"/>
          <w:sz w:val="24"/>
          <w:szCs w:val="24"/>
          <w:lang w:val="en-US" w:eastAsia="en-US"/>
        </w:rPr>
        <w:t xml:space="preserve"> by EE </w:t>
      </w:r>
      <w:r w:rsidR="00BA3FB6" w:rsidRPr="004832EE">
        <w:rPr>
          <w:rFonts w:ascii="Times New Roman" w:eastAsiaTheme="minorHAnsi" w:hAnsi="Times New Roman"/>
          <w:sz w:val="24"/>
          <w:szCs w:val="24"/>
          <w:lang w:val="en-US" w:eastAsia="en-US"/>
        </w:rPr>
        <w:t>investment</w:t>
      </w:r>
      <w:r w:rsidR="00CC5F3F" w:rsidRPr="004832EE">
        <w:rPr>
          <w:rFonts w:ascii="Times New Roman" w:eastAsiaTheme="minorHAnsi" w:hAnsi="Times New Roman"/>
          <w:sz w:val="24"/>
          <w:szCs w:val="24"/>
          <w:lang w:val="en-US" w:eastAsia="en-US"/>
        </w:rPr>
        <w:t xml:space="preserve"> projects</w:t>
      </w:r>
      <w:r w:rsidR="007E0FF8" w:rsidRPr="004832EE">
        <w:rPr>
          <w:rFonts w:ascii="Times New Roman" w:eastAsiaTheme="minorHAnsi" w:hAnsi="Times New Roman"/>
          <w:sz w:val="24"/>
          <w:szCs w:val="24"/>
          <w:lang w:val="en-US" w:eastAsia="en-US"/>
        </w:rPr>
        <w:t xml:space="preserve">, and thus require firms to encumber their internal credit capacity to finance </w:t>
      </w:r>
      <w:r w:rsidR="00CC5F3F" w:rsidRPr="004832EE">
        <w:rPr>
          <w:rFonts w:ascii="Times New Roman" w:eastAsiaTheme="minorHAnsi" w:hAnsi="Times New Roman"/>
          <w:sz w:val="24"/>
          <w:szCs w:val="24"/>
          <w:lang w:val="en-US" w:eastAsia="en-US"/>
        </w:rPr>
        <w:t xml:space="preserve">such </w:t>
      </w:r>
      <w:r w:rsidR="00B1320B" w:rsidRPr="004832EE">
        <w:rPr>
          <w:rFonts w:ascii="Times New Roman" w:eastAsiaTheme="minorHAnsi" w:hAnsi="Times New Roman"/>
          <w:sz w:val="24"/>
          <w:szCs w:val="24"/>
          <w:lang w:val="en-US" w:eastAsia="en-US"/>
        </w:rPr>
        <w:t>projects</w:t>
      </w:r>
      <w:r w:rsidR="007E0FF8" w:rsidRPr="004832EE">
        <w:rPr>
          <w:rFonts w:ascii="Times New Roman" w:eastAsiaTheme="minorHAnsi" w:hAnsi="Times New Roman"/>
          <w:sz w:val="24"/>
          <w:szCs w:val="24"/>
          <w:lang w:val="en-US" w:eastAsia="en-US"/>
        </w:rPr>
        <w:t xml:space="preserve">. </w:t>
      </w:r>
    </w:p>
    <w:p w:rsidR="006F4279" w:rsidRDefault="006F4279" w:rsidP="004D30C3">
      <w:pPr>
        <w:jc w:val="both"/>
        <w:rPr>
          <w:rFonts w:ascii="Times New Roman" w:hAnsi="Times New Roman" w:cs="Times New Roman"/>
          <w:sz w:val="24"/>
          <w:szCs w:val="24"/>
        </w:rPr>
      </w:pPr>
      <w:r w:rsidRPr="00CE64D4">
        <w:rPr>
          <w:rFonts w:ascii="Times New Roman" w:hAnsi="Times New Roman" w:cs="Times New Roman"/>
          <w:sz w:val="24"/>
          <w:szCs w:val="24"/>
        </w:rPr>
        <w:t xml:space="preserve">The lack of understanding by clients and LFIs regarding the potential returns of energy savings, the high perceived risk of new more efficient technologies, and the </w:t>
      </w:r>
      <w:r w:rsidRPr="00FB26B6">
        <w:rPr>
          <w:rFonts w:ascii="Times New Roman" w:hAnsi="Times New Roman" w:cs="Times New Roman"/>
          <w:sz w:val="24"/>
          <w:szCs w:val="24"/>
        </w:rPr>
        <w:t>need to</w:t>
      </w:r>
      <w:r w:rsidR="004D30C3">
        <w:rPr>
          <w:rFonts w:ascii="Times New Roman" w:hAnsi="Times New Roman" w:cs="Times New Roman"/>
          <w:sz w:val="24"/>
          <w:szCs w:val="24"/>
        </w:rPr>
        <w:t xml:space="preserve"> secure external</w:t>
      </w:r>
      <w:r w:rsidRPr="00FB26B6">
        <w:rPr>
          <w:rFonts w:ascii="Times New Roman" w:hAnsi="Times New Roman" w:cs="Times New Roman"/>
          <w:sz w:val="24"/>
          <w:szCs w:val="24"/>
        </w:rPr>
        <w:t xml:space="preserve"> guarantee</w:t>
      </w:r>
      <w:r w:rsidR="004D30C3">
        <w:rPr>
          <w:rFonts w:ascii="Times New Roman" w:hAnsi="Times New Roman" w:cs="Times New Roman"/>
          <w:sz w:val="24"/>
          <w:szCs w:val="24"/>
        </w:rPr>
        <w:t>s of</w:t>
      </w:r>
      <w:r w:rsidRPr="00FB26B6">
        <w:rPr>
          <w:rFonts w:ascii="Times New Roman" w:hAnsi="Times New Roman" w:cs="Times New Roman"/>
          <w:sz w:val="24"/>
          <w:szCs w:val="24"/>
        </w:rPr>
        <w:t xml:space="preserve"> a certain level of energy savings (mistrust in the performance of EE projects and EE audits) are actually typical barriers for investments in energy efficiency projects</w:t>
      </w:r>
      <w:r w:rsidR="004D30C3">
        <w:rPr>
          <w:rFonts w:ascii="Times New Roman" w:hAnsi="Times New Roman" w:cs="Times New Roman"/>
          <w:sz w:val="24"/>
          <w:szCs w:val="24"/>
        </w:rPr>
        <w:t xml:space="preserve"> in many countries</w:t>
      </w:r>
      <w:r w:rsidRPr="00FB26B6">
        <w:rPr>
          <w:rFonts w:ascii="Times New Roman" w:hAnsi="Times New Roman" w:cs="Times New Roman"/>
          <w:sz w:val="24"/>
          <w:szCs w:val="24"/>
        </w:rPr>
        <w:t xml:space="preserve">. In some countries, such as the United States of America, in order to address this barrier, these types of investments are directly undertaken by specialized Energy Service Companies (ESCOs) under a performance contract. </w:t>
      </w:r>
      <w:r>
        <w:rPr>
          <w:rFonts w:ascii="Times New Roman" w:hAnsi="Times New Roman" w:cs="Times New Roman"/>
          <w:sz w:val="24"/>
          <w:szCs w:val="24"/>
        </w:rPr>
        <w:t xml:space="preserve">The performance-based contracts are </w:t>
      </w:r>
      <w:r w:rsidRPr="004A7915">
        <w:rPr>
          <w:rFonts w:ascii="Times New Roman" w:hAnsi="Times New Roman" w:cs="Times New Roman"/>
          <w:sz w:val="24"/>
          <w:szCs w:val="24"/>
        </w:rPr>
        <w:t xml:space="preserve">commonly used in the industry </w:t>
      </w:r>
      <w:r w:rsidRPr="007E06AA">
        <w:rPr>
          <w:rFonts w:ascii="Times New Roman" w:hAnsi="Times New Roman" w:cs="Times New Roman"/>
          <w:sz w:val="24"/>
          <w:szCs w:val="24"/>
        </w:rPr>
        <w:t xml:space="preserve">and </w:t>
      </w:r>
      <w:r>
        <w:rPr>
          <w:rFonts w:ascii="Times New Roman" w:hAnsi="Times New Roman" w:cs="Times New Roman"/>
          <w:sz w:val="24"/>
          <w:szCs w:val="24"/>
        </w:rPr>
        <w:t xml:space="preserve">recognized by the US government (not the case in Colombia). </w:t>
      </w:r>
    </w:p>
    <w:p w:rsidR="006F4279" w:rsidRPr="004A7915" w:rsidRDefault="006F4279" w:rsidP="004D30C3">
      <w:pPr>
        <w:jc w:val="both"/>
        <w:rPr>
          <w:rFonts w:ascii="Times" w:eastAsia="Times New Roman" w:hAnsi="Times" w:cs="Times New Roman"/>
          <w:sz w:val="20"/>
          <w:szCs w:val="20"/>
          <w:lang w:eastAsia="de-DE"/>
        </w:rPr>
      </w:pPr>
      <w:r w:rsidRPr="00CE64D4">
        <w:rPr>
          <w:rFonts w:ascii="Times New Roman" w:hAnsi="Times New Roman" w:cs="Times New Roman"/>
          <w:sz w:val="24"/>
          <w:szCs w:val="24"/>
        </w:rPr>
        <w:t xml:space="preserve">ESCOs </w:t>
      </w:r>
      <w:r>
        <w:rPr>
          <w:rFonts w:ascii="Times New Roman" w:hAnsi="Times New Roman" w:cs="Times New Roman"/>
          <w:sz w:val="24"/>
          <w:szCs w:val="24"/>
        </w:rPr>
        <w:t xml:space="preserve">provide a wide verity of services such as: </w:t>
      </w:r>
      <w:r w:rsidRPr="00CE64D4">
        <w:rPr>
          <w:rFonts w:ascii="Times New Roman" w:hAnsi="Times New Roman" w:cs="Times New Roman"/>
          <w:sz w:val="24"/>
          <w:szCs w:val="24"/>
        </w:rPr>
        <w:t xml:space="preserve"> Identify and evaluate energy-saving opportunities; </w:t>
      </w:r>
      <w:r>
        <w:rPr>
          <w:rFonts w:ascii="Times New Roman" w:hAnsi="Times New Roman" w:cs="Times New Roman"/>
          <w:sz w:val="24"/>
          <w:szCs w:val="24"/>
        </w:rPr>
        <w:t>d</w:t>
      </w:r>
      <w:r w:rsidRPr="00CE64D4">
        <w:rPr>
          <w:rFonts w:ascii="Times New Roman" w:hAnsi="Times New Roman" w:cs="Times New Roman"/>
          <w:sz w:val="24"/>
          <w:szCs w:val="24"/>
        </w:rPr>
        <w:t xml:space="preserve">evelop engineering designs and </w:t>
      </w:r>
      <w:r>
        <w:rPr>
          <w:rFonts w:ascii="Times New Roman" w:hAnsi="Times New Roman" w:cs="Times New Roman"/>
          <w:sz w:val="24"/>
          <w:szCs w:val="24"/>
        </w:rPr>
        <w:t xml:space="preserve">technical </w:t>
      </w:r>
      <w:r w:rsidRPr="00CE64D4">
        <w:rPr>
          <w:rFonts w:ascii="Times New Roman" w:hAnsi="Times New Roman" w:cs="Times New Roman"/>
          <w:sz w:val="24"/>
          <w:szCs w:val="24"/>
        </w:rPr>
        <w:t xml:space="preserve">specifications; arrange </w:t>
      </w:r>
      <w:r w:rsidR="004D30C3">
        <w:rPr>
          <w:rFonts w:ascii="Times New Roman" w:hAnsi="Times New Roman" w:cs="Times New Roman"/>
          <w:sz w:val="24"/>
          <w:szCs w:val="24"/>
        </w:rPr>
        <w:t xml:space="preserve">external </w:t>
      </w:r>
      <w:r w:rsidRPr="00CE64D4">
        <w:rPr>
          <w:rFonts w:ascii="Times New Roman" w:hAnsi="Times New Roman" w:cs="Times New Roman"/>
          <w:sz w:val="24"/>
          <w:szCs w:val="24"/>
        </w:rPr>
        <w:t>financing</w:t>
      </w:r>
      <w:r w:rsidR="004D30C3">
        <w:rPr>
          <w:rFonts w:ascii="Times New Roman" w:hAnsi="Times New Roman" w:cs="Times New Roman"/>
          <w:sz w:val="24"/>
          <w:szCs w:val="24"/>
        </w:rPr>
        <w:t xml:space="preserve"> and/or provide financing themselves</w:t>
      </w:r>
      <w:r w:rsidRPr="00CE64D4">
        <w:rPr>
          <w:rFonts w:ascii="Times New Roman" w:hAnsi="Times New Roman" w:cs="Times New Roman"/>
          <w:sz w:val="24"/>
          <w:szCs w:val="24"/>
        </w:rPr>
        <w:t>; provide monitoring</w:t>
      </w:r>
      <w:r>
        <w:rPr>
          <w:rFonts w:ascii="Times New Roman" w:hAnsi="Times New Roman" w:cs="Times New Roman"/>
          <w:sz w:val="24"/>
          <w:szCs w:val="24"/>
        </w:rPr>
        <w:t xml:space="preserve"> </w:t>
      </w:r>
      <w:r w:rsidRPr="004A7915">
        <w:rPr>
          <w:rFonts w:ascii="Times New Roman" w:hAnsi="Times New Roman" w:cs="Times New Roman"/>
          <w:sz w:val="24"/>
          <w:szCs w:val="24"/>
        </w:rPr>
        <w:t>and maintain the system to ensure energy savings during the </w:t>
      </w:r>
      <w:hyperlink r:id="rId8" w:tooltip="Payback period" w:history="1">
        <w:r w:rsidRPr="004A7915">
          <w:rPr>
            <w:rFonts w:ascii="Times New Roman" w:hAnsi="Times New Roman" w:cs="Times New Roman"/>
            <w:sz w:val="24"/>
            <w:szCs w:val="24"/>
          </w:rPr>
          <w:t>payback period</w:t>
        </w:r>
      </w:hyperlink>
      <w:r w:rsidRPr="00CE64D4">
        <w:rPr>
          <w:rFonts w:ascii="Times New Roman" w:hAnsi="Times New Roman" w:cs="Times New Roman"/>
          <w:sz w:val="24"/>
          <w:szCs w:val="24"/>
        </w:rPr>
        <w:t xml:space="preserve">; </w:t>
      </w:r>
      <w:r w:rsidRPr="004A7915">
        <w:rPr>
          <w:rFonts w:ascii="Times New Roman" w:hAnsi="Times New Roman" w:cs="Times New Roman"/>
          <w:sz w:val="24"/>
          <w:szCs w:val="24"/>
        </w:rPr>
        <w:t xml:space="preserve">The savings in energy costs are often used to pay back the capital investment of the project over a five- to </w:t>
      </w:r>
      <w:r>
        <w:rPr>
          <w:rFonts w:ascii="Times New Roman" w:hAnsi="Times New Roman" w:cs="Times New Roman"/>
          <w:sz w:val="24"/>
          <w:szCs w:val="24"/>
        </w:rPr>
        <w:t>ten</w:t>
      </w:r>
      <w:r w:rsidRPr="009C529F">
        <w:rPr>
          <w:rFonts w:ascii="Times New Roman" w:hAnsi="Times New Roman" w:cs="Times New Roman"/>
          <w:sz w:val="24"/>
          <w:szCs w:val="24"/>
        </w:rPr>
        <w:t>-year period</w:t>
      </w:r>
      <w:r w:rsidRPr="004A7915">
        <w:rPr>
          <w:rFonts w:ascii="Times New Roman" w:hAnsi="Times New Roman" w:cs="Times New Roman"/>
          <w:sz w:val="24"/>
          <w:szCs w:val="24"/>
        </w:rPr>
        <w:t xml:space="preserve">. If the project does not provide </w:t>
      </w:r>
      <w:r w:rsidR="004D30C3">
        <w:rPr>
          <w:rFonts w:ascii="Times New Roman" w:hAnsi="Times New Roman" w:cs="Times New Roman"/>
          <w:sz w:val="24"/>
          <w:szCs w:val="24"/>
        </w:rPr>
        <w:t xml:space="preserve">the projected </w:t>
      </w:r>
      <w:r w:rsidRPr="004A7915">
        <w:rPr>
          <w:rFonts w:ascii="Times New Roman" w:hAnsi="Times New Roman" w:cs="Times New Roman"/>
          <w:sz w:val="24"/>
          <w:szCs w:val="24"/>
        </w:rPr>
        <w:t>returns on the investment, the ESCO is often responsible to pay the difference</w:t>
      </w:r>
      <w:r>
        <w:rPr>
          <w:rFonts w:ascii="Times New Roman" w:hAnsi="Times New Roman" w:cs="Times New Roman"/>
          <w:sz w:val="24"/>
          <w:szCs w:val="24"/>
        </w:rPr>
        <w:t xml:space="preserve">. </w:t>
      </w:r>
    </w:p>
    <w:p w:rsidR="006F4279" w:rsidRPr="004832EE" w:rsidRDefault="004D30C3" w:rsidP="004D30C3">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Colombia does not have an effective ESCO sector, and barriers currently exist to its development </w:t>
      </w:r>
      <w:r w:rsidR="006F4279" w:rsidRPr="004832EE">
        <w:rPr>
          <w:rFonts w:ascii="Times New Roman" w:hAnsi="Times New Roman" w:cs="Times New Roman"/>
          <w:sz w:val="24"/>
          <w:szCs w:val="24"/>
        </w:rPr>
        <w:t>. Market studies have shown that while Colombia has many companies that can provide advisory services on energy efficiency, most of them do not have enough capital to invest directly in buying the technologies and taking the risks associated with EE projects.  Only two companies were identified as “</w:t>
      </w:r>
      <w:r w:rsidR="00962974">
        <w:rPr>
          <w:rFonts w:ascii="Times New Roman" w:hAnsi="Times New Roman" w:cs="Times New Roman"/>
          <w:sz w:val="24"/>
          <w:szCs w:val="24"/>
        </w:rPr>
        <w:t>Energy Service Providers</w:t>
      </w:r>
      <w:r w:rsidR="006F4279" w:rsidRPr="004832EE">
        <w:rPr>
          <w:rFonts w:ascii="Times New Roman" w:hAnsi="Times New Roman" w:cs="Times New Roman"/>
          <w:sz w:val="24"/>
          <w:szCs w:val="24"/>
        </w:rPr>
        <w:t>” (</w:t>
      </w:r>
      <w:r w:rsidR="00962974">
        <w:rPr>
          <w:rFonts w:ascii="Times New Roman" w:hAnsi="Times New Roman" w:cs="Times New Roman"/>
          <w:sz w:val="24"/>
          <w:szCs w:val="24"/>
        </w:rPr>
        <w:t xml:space="preserve">ESPs, </w:t>
      </w:r>
      <w:r w:rsidR="006F4279" w:rsidRPr="004832EE">
        <w:rPr>
          <w:rFonts w:ascii="Times New Roman" w:hAnsi="Times New Roman" w:cs="Times New Roman"/>
          <w:sz w:val="24"/>
          <w:szCs w:val="24"/>
        </w:rPr>
        <w:t>i.e. companies that are directly investing in EE projects under performance contracts</w:t>
      </w:r>
      <w:r w:rsidR="00962974">
        <w:rPr>
          <w:rFonts w:ascii="Times New Roman" w:hAnsi="Times New Roman" w:cs="Times New Roman"/>
          <w:sz w:val="24"/>
          <w:szCs w:val="24"/>
        </w:rPr>
        <w:t xml:space="preserve"> – and could be precursors to ESCOs in the future</w:t>
      </w:r>
      <w:r w:rsidR="006F4279" w:rsidRPr="004832EE">
        <w:rPr>
          <w:rFonts w:ascii="Times New Roman" w:hAnsi="Times New Roman" w:cs="Times New Roman"/>
          <w:sz w:val="24"/>
          <w:szCs w:val="24"/>
        </w:rPr>
        <w:t xml:space="preserve">), but their capacity to expand their exposure in this type of projects is limited by their narrow capital base. </w:t>
      </w:r>
      <w:r w:rsidR="006F4279" w:rsidRPr="004832EE">
        <w:rPr>
          <w:rFonts w:ascii="Times New Roman" w:hAnsi="Times New Roman" w:cs="Times New Roman"/>
          <w:i/>
          <w:sz w:val="24"/>
          <w:szCs w:val="24"/>
        </w:rPr>
        <w:t xml:space="preserve">  </w:t>
      </w:r>
    </w:p>
    <w:p w:rsidR="006F4279" w:rsidRPr="004832EE" w:rsidRDefault="006F4279" w:rsidP="004D30C3">
      <w:pPr>
        <w:jc w:val="both"/>
        <w:rPr>
          <w:rFonts w:ascii="Times New Roman" w:hAnsi="Times New Roman" w:cs="Times New Roman"/>
          <w:sz w:val="24"/>
          <w:szCs w:val="24"/>
        </w:rPr>
      </w:pPr>
      <w:r w:rsidRPr="004832EE">
        <w:rPr>
          <w:rFonts w:ascii="Times New Roman" w:hAnsi="Times New Roman" w:cs="Times New Roman"/>
          <w:sz w:val="24"/>
          <w:szCs w:val="24"/>
        </w:rPr>
        <w:t xml:space="preserve">Given the impossibility to rely on the ESCO model in Colombia, the studies undertaken have shown that in order to promote energy efficiency investments in the country the following barriers / issues would need to be addressed: </w:t>
      </w:r>
    </w:p>
    <w:p w:rsidR="006F4279" w:rsidRPr="004832EE" w:rsidRDefault="00791B46" w:rsidP="004D30C3">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Technical</w:t>
      </w:r>
      <w:r w:rsidRPr="008264E1">
        <w:rPr>
          <w:rFonts w:ascii="Times New Roman" w:hAnsi="Times New Roman" w:cs="Times New Roman"/>
          <w:sz w:val="24"/>
          <w:szCs w:val="24"/>
        </w:rPr>
        <w:t xml:space="preserve">: </w:t>
      </w:r>
      <w:r w:rsidR="006F4279" w:rsidRPr="004832EE">
        <w:rPr>
          <w:rFonts w:ascii="Times New Roman" w:hAnsi="Times New Roman" w:cs="Times New Roman"/>
          <w:sz w:val="24"/>
          <w:szCs w:val="24"/>
        </w:rPr>
        <w:t>Clients and LFIs need to have independent assurances that the providers of technical services and technologies have the technical expertise and equipment’s, respectively, to support the structuring and implementation of successful energy efficiency projects</w:t>
      </w:r>
      <w:r w:rsidR="006F4279">
        <w:rPr>
          <w:rFonts w:ascii="Times New Roman" w:hAnsi="Times New Roman" w:cs="Times New Roman"/>
          <w:sz w:val="24"/>
          <w:szCs w:val="24"/>
        </w:rPr>
        <w:t>, and are able to provide the warranties</w:t>
      </w:r>
      <w:r w:rsidR="006F4279" w:rsidRPr="004832EE">
        <w:rPr>
          <w:rFonts w:ascii="Times New Roman" w:hAnsi="Times New Roman" w:cs="Times New Roman"/>
          <w:sz w:val="24"/>
          <w:szCs w:val="24"/>
        </w:rPr>
        <w:t xml:space="preserve">. </w:t>
      </w:r>
    </w:p>
    <w:p w:rsidR="006F4279" w:rsidRPr="004832EE" w:rsidRDefault="00791B46" w:rsidP="004D30C3">
      <w:pPr>
        <w:pStyle w:val="ListParagraph"/>
        <w:numPr>
          <w:ilvl w:val="0"/>
          <w:numId w:val="2"/>
        </w:numPr>
        <w:jc w:val="both"/>
        <w:rPr>
          <w:rFonts w:ascii="Times New Roman" w:hAnsi="Times New Roman" w:cs="Times New Roman"/>
          <w:sz w:val="24"/>
          <w:szCs w:val="24"/>
        </w:rPr>
      </w:pPr>
      <w:r w:rsidRPr="008264E1">
        <w:rPr>
          <w:rFonts w:ascii="Times New Roman" w:hAnsi="Times New Roman" w:cs="Times New Roman"/>
          <w:b/>
          <w:sz w:val="24"/>
          <w:szCs w:val="24"/>
        </w:rPr>
        <w:t>Legal</w:t>
      </w:r>
      <w:r>
        <w:rPr>
          <w:rFonts w:ascii="Times New Roman" w:hAnsi="Times New Roman" w:cs="Times New Roman"/>
          <w:sz w:val="24"/>
          <w:szCs w:val="24"/>
        </w:rPr>
        <w:t xml:space="preserve">: </w:t>
      </w:r>
      <w:r w:rsidR="006F4279">
        <w:rPr>
          <w:rFonts w:ascii="Times New Roman" w:hAnsi="Times New Roman" w:cs="Times New Roman"/>
          <w:sz w:val="24"/>
          <w:szCs w:val="24"/>
        </w:rPr>
        <w:t xml:space="preserve">The </w:t>
      </w:r>
      <w:r w:rsidR="006F4279" w:rsidRPr="004832EE">
        <w:rPr>
          <w:rFonts w:ascii="Times New Roman" w:hAnsi="Times New Roman" w:cs="Times New Roman"/>
          <w:sz w:val="24"/>
          <w:szCs w:val="24"/>
        </w:rPr>
        <w:t xml:space="preserve">contractual arrangements between clients and service providers need to be transparent and standardized with regards to what type of services are provided, how service providers </w:t>
      </w:r>
      <w:r w:rsidR="006F4279">
        <w:rPr>
          <w:rFonts w:ascii="Times New Roman" w:hAnsi="Times New Roman" w:cs="Times New Roman"/>
          <w:sz w:val="24"/>
          <w:szCs w:val="24"/>
        </w:rPr>
        <w:t>guarantee</w:t>
      </w:r>
      <w:r w:rsidR="006F4279" w:rsidRPr="004832EE">
        <w:rPr>
          <w:rFonts w:ascii="Times New Roman" w:hAnsi="Times New Roman" w:cs="Times New Roman"/>
          <w:sz w:val="24"/>
          <w:szCs w:val="24"/>
        </w:rPr>
        <w:t xml:space="preserve"> the performance of the</w:t>
      </w:r>
      <w:r w:rsidR="006F4279">
        <w:rPr>
          <w:rFonts w:ascii="Times New Roman" w:hAnsi="Times New Roman" w:cs="Times New Roman"/>
          <w:sz w:val="24"/>
          <w:szCs w:val="24"/>
        </w:rPr>
        <w:t>ir EE</w:t>
      </w:r>
      <w:r w:rsidR="006F4279" w:rsidRPr="004832EE">
        <w:rPr>
          <w:rFonts w:ascii="Times New Roman" w:hAnsi="Times New Roman" w:cs="Times New Roman"/>
          <w:sz w:val="24"/>
          <w:szCs w:val="24"/>
        </w:rPr>
        <w:t xml:space="preserve"> projects, and what is the arbitration and remedies if promised savings do not materialize. </w:t>
      </w:r>
    </w:p>
    <w:p w:rsidR="006F4279" w:rsidRPr="004832EE" w:rsidRDefault="00791B46" w:rsidP="004D30C3">
      <w:pPr>
        <w:pStyle w:val="ListParagraph"/>
        <w:numPr>
          <w:ilvl w:val="0"/>
          <w:numId w:val="2"/>
        </w:numPr>
        <w:jc w:val="both"/>
        <w:rPr>
          <w:rFonts w:ascii="Times New Roman" w:hAnsi="Times New Roman" w:cs="Times New Roman"/>
          <w:sz w:val="24"/>
          <w:szCs w:val="24"/>
        </w:rPr>
      </w:pPr>
      <w:r w:rsidRPr="008264E1">
        <w:rPr>
          <w:rFonts w:ascii="Times New Roman" w:hAnsi="Times New Roman" w:cs="Times New Roman"/>
          <w:b/>
          <w:sz w:val="24"/>
          <w:szCs w:val="24"/>
        </w:rPr>
        <w:t>Insurance</w:t>
      </w:r>
      <w:r>
        <w:rPr>
          <w:rFonts w:ascii="Times New Roman" w:hAnsi="Times New Roman" w:cs="Times New Roman"/>
          <w:sz w:val="24"/>
          <w:szCs w:val="24"/>
        </w:rPr>
        <w:t xml:space="preserve">: </w:t>
      </w:r>
      <w:r w:rsidR="006F4279" w:rsidRPr="004832EE">
        <w:rPr>
          <w:rFonts w:ascii="Times New Roman" w:hAnsi="Times New Roman" w:cs="Times New Roman"/>
          <w:sz w:val="24"/>
          <w:szCs w:val="24"/>
        </w:rPr>
        <w:t xml:space="preserve">Clients need to be offered compensation / insurance schemes in case the promised financial flows </w:t>
      </w:r>
      <w:r w:rsidR="006F4279">
        <w:rPr>
          <w:rFonts w:ascii="Times New Roman" w:hAnsi="Times New Roman" w:cs="Times New Roman"/>
          <w:sz w:val="24"/>
          <w:szCs w:val="24"/>
        </w:rPr>
        <w:t xml:space="preserve">(return on the investment) </w:t>
      </w:r>
      <w:r w:rsidR="006F4279" w:rsidRPr="004832EE">
        <w:rPr>
          <w:rFonts w:ascii="Times New Roman" w:hAnsi="Times New Roman" w:cs="Times New Roman"/>
          <w:sz w:val="24"/>
          <w:szCs w:val="24"/>
        </w:rPr>
        <w:t xml:space="preserve">associated with energy savings do not occur. </w:t>
      </w:r>
    </w:p>
    <w:p w:rsidR="0033550D" w:rsidRPr="004832EE" w:rsidRDefault="00791B46" w:rsidP="004D30C3">
      <w:pPr>
        <w:pStyle w:val="ListParagraph"/>
        <w:numPr>
          <w:ilvl w:val="0"/>
          <w:numId w:val="2"/>
        </w:numPr>
        <w:jc w:val="both"/>
        <w:rPr>
          <w:rFonts w:ascii="Times New Roman" w:hAnsi="Times New Roman" w:cs="Times New Roman"/>
          <w:sz w:val="24"/>
          <w:szCs w:val="24"/>
        </w:rPr>
      </w:pPr>
      <w:r w:rsidRPr="008264E1">
        <w:rPr>
          <w:rFonts w:ascii="Times New Roman" w:hAnsi="Times New Roman" w:cs="Times New Roman"/>
          <w:b/>
          <w:sz w:val="24"/>
          <w:szCs w:val="24"/>
        </w:rPr>
        <w:t>Standards</w:t>
      </w:r>
      <w:r>
        <w:rPr>
          <w:rFonts w:ascii="Times New Roman" w:hAnsi="Times New Roman" w:cs="Times New Roman"/>
          <w:sz w:val="24"/>
          <w:szCs w:val="24"/>
        </w:rPr>
        <w:t xml:space="preserve">: </w:t>
      </w:r>
      <w:r w:rsidR="006F4279" w:rsidRPr="004832EE">
        <w:rPr>
          <w:rFonts w:ascii="Times New Roman" w:hAnsi="Times New Roman" w:cs="Times New Roman"/>
          <w:sz w:val="24"/>
          <w:szCs w:val="24"/>
        </w:rPr>
        <w:t>There also exists the need to have clear standards for monitoring and verifying energy savings, and a reliable system to carry out these</w:t>
      </w:r>
      <w:r w:rsidR="006F4279">
        <w:rPr>
          <w:rFonts w:ascii="Times New Roman" w:hAnsi="Times New Roman" w:cs="Times New Roman"/>
          <w:sz w:val="24"/>
          <w:szCs w:val="24"/>
        </w:rPr>
        <w:t xml:space="preserve"> two very important activities.</w:t>
      </w:r>
      <w:r w:rsidR="00AF4034" w:rsidRPr="004832EE">
        <w:rPr>
          <w:rFonts w:ascii="Times New Roman" w:hAnsi="Times New Roman" w:cs="Times New Roman"/>
          <w:sz w:val="24"/>
          <w:szCs w:val="24"/>
        </w:rPr>
        <w:t xml:space="preserve"> </w:t>
      </w:r>
    </w:p>
    <w:p w:rsidR="00AF4034" w:rsidRPr="004832EE" w:rsidRDefault="00F82DD5" w:rsidP="004D30C3">
      <w:pPr>
        <w:jc w:val="both"/>
        <w:rPr>
          <w:rFonts w:ascii="Times New Roman" w:hAnsi="Times New Roman" w:cs="Times New Roman"/>
          <w:sz w:val="24"/>
          <w:szCs w:val="24"/>
        </w:rPr>
      </w:pPr>
      <w:r w:rsidRPr="004832EE">
        <w:rPr>
          <w:rFonts w:ascii="Times New Roman" w:hAnsi="Times New Roman" w:cs="Times New Roman"/>
          <w:sz w:val="24"/>
          <w:szCs w:val="24"/>
        </w:rPr>
        <w:t xml:space="preserve">In order </w:t>
      </w:r>
      <w:r w:rsidR="00F841B0" w:rsidRPr="004832EE">
        <w:rPr>
          <w:rFonts w:ascii="Times New Roman" w:hAnsi="Times New Roman" w:cs="Times New Roman"/>
          <w:sz w:val="24"/>
          <w:szCs w:val="24"/>
        </w:rPr>
        <w:t xml:space="preserve">to promote an enabling environment that </w:t>
      </w:r>
      <w:r w:rsidR="00AF4034" w:rsidRPr="004832EE">
        <w:rPr>
          <w:rFonts w:ascii="Times New Roman" w:hAnsi="Times New Roman" w:cs="Times New Roman"/>
          <w:sz w:val="24"/>
          <w:szCs w:val="24"/>
        </w:rPr>
        <w:t xml:space="preserve">addresses the </w:t>
      </w:r>
      <w:r w:rsidR="00836487" w:rsidRPr="004832EE">
        <w:rPr>
          <w:rFonts w:ascii="Times New Roman" w:hAnsi="Times New Roman" w:cs="Times New Roman"/>
          <w:sz w:val="24"/>
          <w:szCs w:val="24"/>
        </w:rPr>
        <w:t xml:space="preserve">aforementioned </w:t>
      </w:r>
      <w:r w:rsidR="0075788C" w:rsidRPr="004832EE">
        <w:rPr>
          <w:rFonts w:ascii="Times New Roman" w:hAnsi="Times New Roman" w:cs="Times New Roman"/>
          <w:sz w:val="24"/>
          <w:szCs w:val="24"/>
        </w:rPr>
        <w:t>issues</w:t>
      </w:r>
      <w:r w:rsidR="00AF4034" w:rsidRPr="004832EE">
        <w:rPr>
          <w:rFonts w:ascii="Times New Roman" w:hAnsi="Times New Roman" w:cs="Times New Roman"/>
          <w:sz w:val="24"/>
          <w:szCs w:val="24"/>
        </w:rPr>
        <w:t xml:space="preserve"> and </w:t>
      </w:r>
      <w:r w:rsidR="0075788C" w:rsidRPr="004832EE">
        <w:rPr>
          <w:rFonts w:ascii="Times New Roman" w:hAnsi="Times New Roman" w:cs="Times New Roman"/>
          <w:sz w:val="24"/>
          <w:szCs w:val="24"/>
        </w:rPr>
        <w:t xml:space="preserve">risk </w:t>
      </w:r>
      <w:r w:rsidR="00F841B0" w:rsidRPr="004832EE">
        <w:rPr>
          <w:rFonts w:ascii="Times New Roman" w:hAnsi="Times New Roman" w:cs="Times New Roman"/>
          <w:sz w:val="24"/>
          <w:szCs w:val="24"/>
        </w:rPr>
        <w:t xml:space="preserve">perceptions of </w:t>
      </w:r>
      <w:r w:rsidR="0075788C" w:rsidRPr="004832EE">
        <w:rPr>
          <w:rFonts w:ascii="Times New Roman" w:hAnsi="Times New Roman" w:cs="Times New Roman"/>
          <w:sz w:val="24"/>
          <w:szCs w:val="24"/>
        </w:rPr>
        <w:t>potential beneficiaries</w:t>
      </w:r>
      <w:r w:rsidR="00AF4034" w:rsidRPr="004832EE">
        <w:rPr>
          <w:rFonts w:ascii="Times New Roman" w:hAnsi="Times New Roman" w:cs="Times New Roman"/>
          <w:sz w:val="24"/>
          <w:szCs w:val="24"/>
        </w:rPr>
        <w:t xml:space="preserve"> and LFIs</w:t>
      </w:r>
      <w:r w:rsidR="0075788C" w:rsidRPr="004832EE">
        <w:rPr>
          <w:rFonts w:ascii="Times New Roman" w:hAnsi="Times New Roman" w:cs="Times New Roman"/>
          <w:sz w:val="24"/>
          <w:szCs w:val="24"/>
        </w:rPr>
        <w:t>,</w:t>
      </w:r>
      <w:r w:rsidR="00AF4034" w:rsidRPr="004832EE">
        <w:rPr>
          <w:rFonts w:ascii="Times New Roman" w:hAnsi="Times New Roman" w:cs="Times New Roman"/>
          <w:sz w:val="24"/>
          <w:szCs w:val="24"/>
        </w:rPr>
        <w:t xml:space="preserve"> </w:t>
      </w:r>
      <w:r w:rsidR="0075788C" w:rsidRPr="004832EE">
        <w:rPr>
          <w:rFonts w:ascii="Times New Roman" w:hAnsi="Times New Roman" w:cs="Times New Roman"/>
          <w:sz w:val="24"/>
          <w:szCs w:val="24"/>
        </w:rPr>
        <w:t>the proposed program</w:t>
      </w:r>
      <w:r w:rsidR="00AF4034" w:rsidRPr="004832EE">
        <w:rPr>
          <w:rFonts w:ascii="Times New Roman" w:hAnsi="Times New Roman" w:cs="Times New Roman"/>
          <w:sz w:val="24"/>
          <w:szCs w:val="24"/>
        </w:rPr>
        <w:t xml:space="preserve">, through the </w:t>
      </w:r>
      <w:r w:rsidR="0075788C" w:rsidRPr="004832EE">
        <w:rPr>
          <w:rFonts w:ascii="Times New Roman" w:hAnsi="Times New Roman" w:cs="Times New Roman"/>
          <w:sz w:val="24"/>
          <w:szCs w:val="24"/>
        </w:rPr>
        <w:t>coordinating efforts</w:t>
      </w:r>
      <w:r w:rsidR="00AF4034" w:rsidRPr="004832EE">
        <w:rPr>
          <w:rFonts w:ascii="Times New Roman" w:hAnsi="Times New Roman" w:cs="Times New Roman"/>
          <w:sz w:val="24"/>
          <w:szCs w:val="24"/>
        </w:rPr>
        <w:t xml:space="preserve"> of Bancoldex, </w:t>
      </w:r>
      <w:r w:rsidR="00E23B69" w:rsidRPr="004832EE">
        <w:rPr>
          <w:rFonts w:ascii="Times New Roman" w:hAnsi="Times New Roman" w:cs="Times New Roman"/>
          <w:sz w:val="24"/>
          <w:szCs w:val="24"/>
        </w:rPr>
        <w:t xml:space="preserve">would </w:t>
      </w:r>
      <w:r w:rsidR="00BB4065" w:rsidRPr="004832EE">
        <w:rPr>
          <w:rFonts w:ascii="Times New Roman" w:hAnsi="Times New Roman" w:cs="Times New Roman"/>
          <w:sz w:val="24"/>
          <w:szCs w:val="24"/>
        </w:rPr>
        <w:t>pr</w:t>
      </w:r>
      <w:r w:rsidR="0075788C" w:rsidRPr="004832EE">
        <w:rPr>
          <w:rFonts w:ascii="Times New Roman" w:hAnsi="Times New Roman" w:cs="Times New Roman"/>
          <w:sz w:val="24"/>
          <w:szCs w:val="24"/>
        </w:rPr>
        <w:t>ovide</w:t>
      </w:r>
      <w:r w:rsidR="00AF4034" w:rsidRPr="004832EE">
        <w:rPr>
          <w:rFonts w:ascii="Times New Roman" w:hAnsi="Times New Roman" w:cs="Times New Roman"/>
          <w:sz w:val="24"/>
          <w:szCs w:val="24"/>
        </w:rPr>
        <w:t xml:space="preserve"> the following </w:t>
      </w:r>
      <w:r w:rsidR="00E23B69" w:rsidRPr="004832EE">
        <w:rPr>
          <w:rFonts w:ascii="Times New Roman" w:hAnsi="Times New Roman" w:cs="Times New Roman"/>
          <w:sz w:val="24"/>
          <w:szCs w:val="24"/>
        </w:rPr>
        <w:t>incentives</w:t>
      </w:r>
      <w:r w:rsidR="00AF4034" w:rsidRPr="004832EE">
        <w:rPr>
          <w:rFonts w:ascii="Times New Roman" w:hAnsi="Times New Roman" w:cs="Times New Roman"/>
          <w:sz w:val="24"/>
          <w:szCs w:val="24"/>
        </w:rPr>
        <w:t xml:space="preserve">: </w:t>
      </w:r>
    </w:p>
    <w:p w:rsidR="00E23B69" w:rsidRPr="004832EE" w:rsidRDefault="0075788C" w:rsidP="004D30C3">
      <w:pPr>
        <w:pStyle w:val="ListParagraph"/>
        <w:numPr>
          <w:ilvl w:val="0"/>
          <w:numId w:val="2"/>
        </w:numPr>
        <w:jc w:val="both"/>
        <w:rPr>
          <w:rFonts w:ascii="Times New Roman" w:hAnsi="Times New Roman" w:cs="Times New Roman"/>
          <w:sz w:val="24"/>
          <w:szCs w:val="24"/>
        </w:rPr>
      </w:pPr>
      <w:r w:rsidRPr="004832EE">
        <w:rPr>
          <w:rFonts w:ascii="Times New Roman" w:hAnsi="Times New Roman" w:cs="Times New Roman"/>
          <w:sz w:val="24"/>
          <w:szCs w:val="24"/>
        </w:rPr>
        <w:t>T</w:t>
      </w:r>
      <w:r w:rsidR="00E23B69" w:rsidRPr="004832EE">
        <w:rPr>
          <w:rFonts w:ascii="Times New Roman" w:hAnsi="Times New Roman" w:cs="Times New Roman"/>
          <w:sz w:val="24"/>
          <w:szCs w:val="24"/>
        </w:rPr>
        <w:t xml:space="preserve">echnical backstopping by energy services providers to </w:t>
      </w:r>
      <w:r w:rsidRPr="004832EE">
        <w:rPr>
          <w:rFonts w:ascii="Times New Roman" w:hAnsi="Times New Roman" w:cs="Times New Roman"/>
          <w:sz w:val="24"/>
          <w:szCs w:val="24"/>
        </w:rPr>
        <w:t>beneficiary firms</w:t>
      </w:r>
      <w:r w:rsidR="00795E6D">
        <w:rPr>
          <w:rFonts w:ascii="Times New Roman" w:hAnsi="Times New Roman" w:cs="Times New Roman"/>
          <w:sz w:val="24"/>
          <w:szCs w:val="24"/>
        </w:rPr>
        <w:t xml:space="preserve"> </w:t>
      </w:r>
      <w:r w:rsidR="00795E6D" w:rsidRPr="004832EE">
        <w:rPr>
          <w:rFonts w:ascii="Times New Roman" w:hAnsi="Times New Roman" w:cs="Times New Roman"/>
          <w:sz w:val="24"/>
          <w:szCs w:val="24"/>
        </w:rPr>
        <w:t>(which should be amortized through the credit line itself)</w:t>
      </w:r>
      <w:r w:rsidRPr="004832EE">
        <w:rPr>
          <w:rFonts w:ascii="Times New Roman" w:hAnsi="Times New Roman" w:cs="Times New Roman"/>
          <w:sz w:val="24"/>
          <w:szCs w:val="24"/>
        </w:rPr>
        <w:t xml:space="preserve"> in order to</w:t>
      </w:r>
      <w:r w:rsidR="00E4184E">
        <w:rPr>
          <w:rFonts w:ascii="Times New Roman" w:hAnsi="Times New Roman" w:cs="Times New Roman"/>
          <w:sz w:val="24"/>
          <w:szCs w:val="24"/>
        </w:rPr>
        <w:t xml:space="preserve"> support ESPs to</w:t>
      </w:r>
      <w:r w:rsidR="00795E6D">
        <w:rPr>
          <w:rFonts w:ascii="Times New Roman" w:hAnsi="Times New Roman" w:cs="Times New Roman"/>
          <w:sz w:val="24"/>
          <w:szCs w:val="24"/>
        </w:rPr>
        <w:t>: i)</w:t>
      </w:r>
      <w:r w:rsidRPr="004832EE">
        <w:rPr>
          <w:rFonts w:ascii="Times New Roman" w:hAnsi="Times New Roman" w:cs="Times New Roman"/>
          <w:sz w:val="24"/>
          <w:szCs w:val="24"/>
        </w:rPr>
        <w:t xml:space="preserve"> estimate potential </w:t>
      </w:r>
      <w:r w:rsidR="00E23B69" w:rsidRPr="004832EE">
        <w:rPr>
          <w:rFonts w:ascii="Times New Roman" w:hAnsi="Times New Roman" w:cs="Times New Roman"/>
          <w:sz w:val="24"/>
          <w:szCs w:val="24"/>
        </w:rPr>
        <w:t xml:space="preserve"> energy savings</w:t>
      </w:r>
      <w:r w:rsidR="00795E6D">
        <w:rPr>
          <w:rFonts w:ascii="Times New Roman" w:hAnsi="Times New Roman" w:cs="Times New Roman"/>
          <w:sz w:val="24"/>
          <w:szCs w:val="24"/>
        </w:rPr>
        <w:t xml:space="preserve">, ii) design eligible projects; iii) develop monitoring plans and iv) measure and report energy savings and </w:t>
      </w:r>
      <w:r w:rsidR="00E4184E">
        <w:rPr>
          <w:rFonts w:ascii="Times New Roman" w:hAnsi="Times New Roman" w:cs="Times New Roman"/>
          <w:sz w:val="24"/>
          <w:szCs w:val="24"/>
        </w:rPr>
        <w:t>greenhouse gas (</w:t>
      </w:r>
      <w:r w:rsidR="00795E6D">
        <w:rPr>
          <w:rFonts w:ascii="Times New Roman" w:hAnsi="Times New Roman" w:cs="Times New Roman"/>
          <w:sz w:val="24"/>
          <w:szCs w:val="24"/>
        </w:rPr>
        <w:t>GHG</w:t>
      </w:r>
      <w:r w:rsidR="00E4184E">
        <w:rPr>
          <w:rFonts w:ascii="Times New Roman" w:hAnsi="Times New Roman" w:cs="Times New Roman"/>
          <w:sz w:val="24"/>
          <w:szCs w:val="24"/>
        </w:rPr>
        <w:t>)</w:t>
      </w:r>
      <w:r w:rsidR="00795E6D">
        <w:rPr>
          <w:rFonts w:ascii="Times New Roman" w:hAnsi="Times New Roman" w:cs="Times New Roman"/>
          <w:sz w:val="24"/>
          <w:szCs w:val="24"/>
        </w:rPr>
        <w:t xml:space="preserve"> emissions reductions achieved. </w:t>
      </w:r>
    </w:p>
    <w:p w:rsidR="00E23B69" w:rsidRPr="004832EE" w:rsidRDefault="00722CC0" w:rsidP="004D30C3">
      <w:pPr>
        <w:pStyle w:val="ListParagraph"/>
        <w:numPr>
          <w:ilvl w:val="0"/>
          <w:numId w:val="2"/>
        </w:numPr>
        <w:jc w:val="both"/>
        <w:rPr>
          <w:rFonts w:ascii="Times New Roman" w:hAnsi="Times New Roman" w:cs="Times New Roman"/>
          <w:sz w:val="24"/>
          <w:szCs w:val="24"/>
        </w:rPr>
      </w:pPr>
      <w:r w:rsidRPr="004832EE">
        <w:rPr>
          <w:rFonts w:ascii="Times New Roman" w:hAnsi="Times New Roman" w:cs="Times New Roman"/>
          <w:sz w:val="24"/>
          <w:szCs w:val="24"/>
        </w:rPr>
        <w:t xml:space="preserve">Investment financing at terms and conditions that take into account the costs and returns of EE investment </w:t>
      </w:r>
      <w:r w:rsidR="00E23B69" w:rsidRPr="004832EE">
        <w:rPr>
          <w:rFonts w:ascii="Times New Roman" w:hAnsi="Times New Roman" w:cs="Times New Roman"/>
          <w:sz w:val="24"/>
          <w:szCs w:val="24"/>
        </w:rPr>
        <w:t xml:space="preserve">projects (which will be </w:t>
      </w:r>
      <w:r w:rsidRPr="004832EE">
        <w:rPr>
          <w:rFonts w:ascii="Times New Roman" w:hAnsi="Times New Roman" w:cs="Times New Roman"/>
          <w:sz w:val="24"/>
          <w:szCs w:val="24"/>
        </w:rPr>
        <w:t>defined</w:t>
      </w:r>
      <w:r w:rsidR="004832EE">
        <w:rPr>
          <w:rFonts w:ascii="Times New Roman" w:hAnsi="Times New Roman" w:cs="Times New Roman"/>
          <w:sz w:val="24"/>
          <w:szCs w:val="24"/>
        </w:rPr>
        <w:t xml:space="preserve"> </w:t>
      </w:r>
      <w:r w:rsidR="00E23B69" w:rsidRPr="004832EE">
        <w:rPr>
          <w:rFonts w:ascii="Times New Roman" w:hAnsi="Times New Roman" w:cs="Times New Roman"/>
          <w:sz w:val="24"/>
          <w:szCs w:val="24"/>
        </w:rPr>
        <w:t xml:space="preserve">based on studies under way) </w:t>
      </w:r>
    </w:p>
    <w:p w:rsidR="00E23B69" w:rsidRPr="004832EE" w:rsidRDefault="0050589F" w:rsidP="004D30C3">
      <w:pPr>
        <w:pStyle w:val="ListParagraph"/>
        <w:numPr>
          <w:ilvl w:val="0"/>
          <w:numId w:val="2"/>
        </w:numPr>
        <w:jc w:val="both"/>
        <w:rPr>
          <w:rFonts w:ascii="Times New Roman" w:hAnsi="Times New Roman" w:cs="Times New Roman"/>
          <w:sz w:val="24"/>
          <w:szCs w:val="24"/>
        </w:rPr>
      </w:pPr>
      <w:r w:rsidRPr="004832EE">
        <w:rPr>
          <w:rFonts w:ascii="Times New Roman" w:hAnsi="Times New Roman" w:cs="Times New Roman"/>
          <w:sz w:val="24"/>
          <w:szCs w:val="24"/>
        </w:rPr>
        <w:t>R</w:t>
      </w:r>
      <w:r w:rsidRPr="004832EE">
        <w:rPr>
          <w:rFonts w:ascii="Times New Roman" w:eastAsia="MS Mincho" w:hAnsi="Times New Roman" w:cs="Times New Roman"/>
          <w:sz w:val="24"/>
          <w:szCs w:val="24"/>
        </w:rPr>
        <w:t>isk management tools through</w:t>
      </w:r>
      <w:r w:rsidR="00F479C9">
        <w:rPr>
          <w:rFonts w:ascii="Times New Roman" w:eastAsia="MS Mincho" w:hAnsi="Times New Roman" w:cs="Times New Roman"/>
          <w:sz w:val="24"/>
          <w:szCs w:val="24"/>
        </w:rPr>
        <w:t xml:space="preserve">: </w:t>
      </w:r>
      <w:r w:rsidRPr="004832EE">
        <w:rPr>
          <w:rFonts w:ascii="Times New Roman" w:eastAsia="MS Mincho" w:hAnsi="Times New Roman" w:cs="Times New Roman"/>
          <w:sz w:val="24"/>
          <w:szCs w:val="24"/>
        </w:rPr>
        <w:t xml:space="preserve">i) a third party verifier that will assess both: a) the  technical quality and expected results of project proposals made by technical services providers, and b) the technical expertise of those providers; and ii) the design of the </w:t>
      </w:r>
      <w:r w:rsidRPr="004832EE">
        <w:rPr>
          <w:rFonts w:ascii="Times New Roman" w:eastAsia="MS Mincho" w:hAnsi="Times New Roman" w:cs="Times New Roman"/>
          <w:sz w:val="24"/>
          <w:szCs w:val="24"/>
        </w:rPr>
        <w:lastRenderedPageBreak/>
        <w:t xml:space="preserve">contractual arrangements required by a performance insurance policy to be developed by a local insurance company in order to insure firms investing in EE against shortfalls in agreed energy savings during the loan repayment period of their EE investment. </w:t>
      </w:r>
      <w:r w:rsidR="00E23B69" w:rsidRPr="004832EE">
        <w:rPr>
          <w:rFonts w:ascii="Times New Roman" w:hAnsi="Times New Roman" w:cs="Times New Roman"/>
          <w:sz w:val="24"/>
          <w:szCs w:val="24"/>
        </w:rPr>
        <w:t xml:space="preserve">  </w:t>
      </w:r>
    </w:p>
    <w:p w:rsidR="00E23B69" w:rsidRPr="004832EE" w:rsidRDefault="00661646" w:rsidP="00AF4034">
      <w:pPr>
        <w:jc w:val="both"/>
        <w:rPr>
          <w:rFonts w:ascii="Times New Roman" w:hAnsi="Times New Roman" w:cs="Times New Roman"/>
          <w:sz w:val="24"/>
          <w:szCs w:val="24"/>
        </w:rPr>
      </w:pPr>
      <w:r w:rsidRPr="004832EE">
        <w:rPr>
          <w:rFonts w:ascii="Times New Roman" w:hAnsi="Times New Roman" w:cs="Times New Roman"/>
          <w:sz w:val="24"/>
          <w:szCs w:val="24"/>
        </w:rPr>
        <w:t>In addition to the concessionality of the credit line (particular</w:t>
      </w:r>
      <w:r w:rsidR="0050589F" w:rsidRPr="004832EE">
        <w:rPr>
          <w:rFonts w:ascii="Times New Roman" w:hAnsi="Times New Roman" w:cs="Times New Roman"/>
          <w:sz w:val="24"/>
          <w:szCs w:val="24"/>
        </w:rPr>
        <w:t>ly</w:t>
      </w:r>
      <w:r w:rsidRPr="004832EE">
        <w:rPr>
          <w:rFonts w:ascii="Times New Roman" w:hAnsi="Times New Roman" w:cs="Times New Roman"/>
          <w:sz w:val="24"/>
          <w:szCs w:val="24"/>
        </w:rPr>
        <w:t xml:space="preserve"> </w:t>
      </w:r>
      <w:r w:rsidR="0050589F" w:rsidRPr="004832EE">
        <w:rPr>
          <w:rFonts w:ascii="Times New Roman" w:hAnsi="Times New Roman" w:cs="Times New Roman"/>
          <w:sz w:val="24"/>
          <w:szCs w:val="24"/>
        </w:rPr>
        <w:t xml:space="preserve">in terms of </w:t>
      </w:r>
      <w:r w:rsidR="009B7994" w:rsidRPr="004832EE">
        <w:rPr>
          <w:rFonts w:ascii="Times New Roman" w:hAnsi="Times New Roman" w:cs="Times New Roman"/>
          <w:sz w:val="24"/>
          <w:szCs w:val="24"/>
        </w:rPr>
        <w:t xml:space="preserve">loan </w:t>
      </w:r>
      <w:r w:rsidR="0050589F" w:rsidRPr="004832EE">
        <w:rPr>
          <w:rFonts w:ascii="Times New Roman" w:hAnsi="Times New Roman" w:cs="Times New Roman"/>
          <w:sz w:val="24"/>
          <w:szCs w:val="24"/>
        </w:rPr>
        <w:t>repayment p</w:t>
      </w:r>
      <w:r w:rsidRPr="004832EE">
        <w:rPr>
          <w:rFonts w:ascii="Times New Roman" w:hAnsi="Times New Roman" w:cs="Times New Roman"/>
          <w:sz w:val="24"/>
          <w:szCs w:val="24"/>
        </w:rPr>
        <w:t xml:space="preserve">eriods), </w:t>
      </w:r>
      <w:r w:rsidR="00E23B69" w:rsidRPr="004832EE">
        <w:rPr>
          <w:rFonts w:ascii="Times New Roman" w:hAnsi="Times New Roman" w:cs="Times New Roman"/>
          <w:sz w:val="24"/>
          <w:szCs w:val="24"/>
        </w:rPr>
        <w:t xml:space="preserve">the </w:t>
      </w:r>
      <w:r w:rsidR="0050589F" w:rsidRPr="004832EE">
        <w:rPr>
          <w:rFonts w:ascii="Times New Roman" w:hAnsi="Times New Roman" w:cs="Times New Roman"/>
          <w:sz w:val="24"/>
          <w:szCs w:val="24"/>
        </w:rPr>
        <w:t xml:space="preserve">program </w:t>
      </w:r>
      <w:r w:rsidR="00E23B69" w:rsidRPr="004832EE">
        <w:rPr>
          <w:rFonts w:ascii="Times New Roman" w:hAnsi="Times New Roman" w:cs="Times New Roman"/>
          <w:sz w:val="24"/>
          <w:szCs w:val="24"/>
        </w:rPr>
        <w:t>would</w:t>
      </w:r>
      <w:r w:rsidR="0050589F" w:rsidRPr="004832EE">
        <w:rPr>
          <w:rFonts w:ascii="Times New Roman" w:hAnsi="Times New Roman" w:cs="Times New Roman"/>
          <w:sz w:val="24"/>
          <w:szCs w:val="24"/>
        </w:rPr>
        <w:t xml:space="preserve"> </w:t>
      </w:r>
      <w:r w:rsidR="009B7994" w:rsidRPr="004832EE">
        <w:rPr>
          <w:rFonts w:ascii="Times New Roman" w:hAnsi="Times New Roman" w:cs="Times New Roman"/>
          <w:sz w:val="24"/>
          <w:szCs w:val="24"/>
        </w:rPr>
        <w:t>fund</w:t>
      </w:r>
      <w:r w:rsidR="00E23B69" w:rsidRPr="004832EE">
        <w:rPr>
          <w:rFonts w:ascii="Times New Roman" w:hAnsi="Times New Roman" w:cs="Times New Roman"/>
          <w:sz w:val="24"/>
          <w:szCs w:val="24"/>
        </w:rPr>
        <w:t xml:space="preserve">, </w:t>
      </w:r>
      <w:r w:rsidR="009B7994" w:rsidRPr="004832EE">
        <w:rPr>
          <w:rFonts w:ascii="Times New Roman" w:hAnsi="Times New Roman" w:cs="Times New Roman"/>
          <w:sz w:val="24"/>
          <w:szCs w:val="24"/>
        </w:rPr>
        <w:t xml:space="preserve">through a complementary </w:t>
      </w:r>
      <w:r w:rsidR="00E23B69" w:rsidRPr="004832EE">
        <w:rPr>
          <w:rFonts w:ascii="Times New Roman" w:hAnsi="Times New Roman" w:cs="Times New Roman"/>
          <w:sz w:val="24"/>
          <w:szCs w:val="24"/>
        </w:rPr>
        <w:t xml:space="preserve">technical cooperation, the following </w:t>
      </w:r>
      <w:r w:rsidR="009B7994" w:rsidRPr="004832EE">
        <w:rPr>
          <w:rFonts w:ascii="Times New Roman" w:hAnsi="Times New Roman" w:cs="Times New Roman"/>
          <w:sz w:val="24"/>
          <w:szCs w:val="24"/>
        </w:rPr>
        <w:t xml:space="preserve">interventions that would support both the supply of and the demand for financing for EE investment projects: </w:t>
      </w:r>
      <w:r w:rsidR="00E23B69" w:rsidRPr="004832EE">
        <w:rPr>
          <w:rFonts w:ascii="Times New Roman" w:hAnsi="Times New Roman" w:cs="Times New Roman"/>
          <w:sz w:val="24"/>
          <w:szCs w:val="24"/>
        </w:rPr>
        <w:t xml:space="preserve"> </w:t>
      </w:r>
    </w:p>
    <w:p w:rsidR="00F127CD" w:rsidRPr="00F127CD" w:rsidRDefault="00F127CD" w:rsidP="00F127CD">
      <w:pPr>
        <w:pStyle w:val="ListParagraph"/>
        <w:numPr>
          <w:ilvl w:val="0"/>
          <w:numId w:val="2"/>
        </w:numPr>
        <w:jc w:val="both"/>
        <w:rPr>
          <w:rFonts w:ascii="Times New Roman" w:hAnsi="Times New Roman" w:cs="Times New Roman"/>
          <w:sz w:val="24"/>
          <w:szCs w:val="24"/>
        </w:rPr>
      </w:pPr>
      <w:r w:rsidRPr="00F127CD">
        <w:rPr>
          <w:rFonts w:ascii="Times New Roman" w:hAnsi="Times New Roman" w:cs="Times New Roman"/>
          <w:i/>
          <w:sz w:val="24"/>
          <w:szCs w:val="24"/>
        </w:rPr>
        <w:t>Development of standard contractual terms that could fit in a recognized legal construction contract and which should establish the rights and obligations of both beneficiary firms and technical services</w:t>
      </w:r>
      <w:r w:rsidRPr="00F127CD">
        <w:rPr>
          <w:rFonts w:ascii="Times New Roman" w:hAnsi="Times New Roman" w:cs="Times New Roman"/>
          <w:sz w:val="24"/>
          <w:szCs w:val="24"/>
        </w:rPr>
        <w:t xml:space="preserve"> providers, specifying, among other things, the project design and execution services that technical services providers would provide, the payment system and schedules, the arbitration and penalty systems that would be triggered if promised energy savings do not materialize, and the guarantees that technical service providers would have to extend to beneficiary  firms to ensure that the latter are not financially affected if the EE project does not delivered the benefits that it is supposed to deliver. This intervention will include the discussions of the clauses and contract terms with the different stakeholders (clients, energy service providers, LFI, insurance company, third party verification organization, and Bancoldex), with the aim to </w:t>
      </w:r>
      <w:r w:rsidR="004C0295">
        <w:rPr>
          <w:rFonts w:ascii="Times New Roman" w:hAnsi="Times New Roman" w:cs="Times New Roman"/>
          <w:sz w:val="24"/>
          <w:szCs w:val="24"/>
        </w:rPr>
        <w:t>develop a widely-</w:t>
      </w:r>
      <w:r w:rsidRPr="00F127CD">
        <w:rPr>
          <w:rFonts w:ascii="Times New Roman" w:hAnsi="Times New Roman" w:cs="Times New Roman"/>
          <w:sz w:val="24"/>
          <w:szCs w:val="24"/>
        </w:rPr>
        <w:t xml:space="preserve">accepted standardized contract. The contract will guarantee a reliable and fair agreement between the client and the Energy Service Provider, and this can help to create confidence among the partners. The contract has to be reviewed and endorsed by a recognized local legal expert before the discussions process. The standard contractual clauses will be made transparently available to any beneficiary firms and service providers that wish to participate in the program.  </w:t>
      </w:r>
    </w:p>
    <w:p w:rsidR="00AF4034" w:rsidRPr="004832EE" w:rsidRDefault="002764A2" w:rsidP="00BB4065">
      <w:pPr>
        <w:pStyle w:val="ListParagraph"/>
        <w:numPr>
          <w:ilvl w:val="0"/>
          <w:numId w:val="2"/>
        </w:numPr>
        <w:jc w:val="both"/>
        <w:rPr>
          <w:rFonts w:ascii="Times New Roman" w:hAnsi="Times New Roman" w:cs="Times New Roman"/>
          <w:sz w:val="24"/>
          <w:szCs w:val="24"/>
        </w:rPr>
      </w:pPr>
      <w:r w:rsidRPr="00F127CD">
        <w:rPr>
          <w:rFonts w:ascii="Times New Roman" w:hAnsi="Times New Roman" w:cs="Times New Roman"/>
          <w:i/>
          <w:sz w:val="24"/>
          <w:szCs w:val="24"/>
        </w:rPr>
        <w:t xml:space="preserve">Development of </w:t>
      </w:r>
      <w:r w:rsidR="00511B8F" w:rsidRPr="00F127CD">
        <w:rPr>
          <w:rFonts w:ascii="Times New Roman" w:hAnsi="Times New Roman" w:cs="Times New Roman"/>
          <w:i/>
          <w:sz w:val="24"/>
          <w:szCs w:val="24"/>
        </w:rPr>
        <w:t xml:space="preserve">the </w:t>
      </w:r>
      <w:r w:rsidRPr="00F127CD">
        <w:rPr>
          <w:rFonts w:ascii="Times New Roman" w:hAnsi="Times New Roman" w:cs="Times New Roman"/>
          <w:i/>
          <w:sz w:val="24"/>
          <w:szCs w:val="24"/>
        </w:rPr>
        <w:t>methodolog</w:t>
      </w:r>
      <w:r w:rsidR="00511B8F" w:rsidRPr="00F127CD">
        <w:rPr>
          <w:rFonts w:ascii="Times New Roman" w:hAnsi="Times New Roman" w:cs="Times New Roman"/>
          <w:i/>
          <w:sz w:val="24"/>
          <w:szCs w:val="24"/>
        </w:rPr>
        <w:t>ies</w:t>
      </w:r>
      <w:r w:rsidRPr="00F127CD">
        <w:rPr>
          <w:rFonts w:ascii="Times New Roman" w:hAnsi="Times New Roman" w:cs="Times New Roman"/>
          <w:i/>
          <w:sz w:val="24"/>
          <w:szCs w:val="24"/>
        </w:rPr>
        <w:t xml:space="preserve">, protocols and </w:t>
      </w:r>
      <w:r w:rsidR="009E4191" w:rsidRPr="00F127CD">
        <w:rPr>
          <w:rFonts w:ascii="Times New Roman" w:hAnsi="Times New Roman" w:cs="Times New Roman"/>
          <w:i/>
          <w:sz w:val="24"/>
          <w:szCs w:val="24"/>
        </w:rPr>
        <w:t xml:space="preserve">the </w:t>
      </w:r>
      <w:r w:rsidRPr="00F127CD">
        <w:rPr>
          <w:rFonts w:ascii="Times New Roman" w:hAnsi="Times New Roman" w:cs="Times New Roman"/>
          <w:i/>
          <w:sz w:val="24"/>
          <w:szCs w:val="24"/>
        </w:rPr>
        <w:t xml:space="preserve">system for </w:t>
      </w:r>
      <w:r w:rsidR="00431D78" w:rsidRPr="00F127CD">
        <w:rPr>
          <w:rFonts w:ascii="Times New Roman" w:hAnsi="Times New Roman" w:cs="Times New Roman"/>
          <w:i/>
          <w:sz w:val="24"/>
          <w:szCs w:val="24"/>
        </w:rPr>
        <w:t xml:space="preserve">monitoring, </w:t>
      </w:r>
      <w:r w:rsidRPr="00F127CD">
        <w:rPr>
          <w:rFonts w:ascii="Times New Roman" w:hAnsi="Times New Roman" w:cs="Times New Roman"/>
          <w:i/>
          <w:sz w:val="24"/>
          <w:szCs w:val="24"/>
        </w:rPr>
        <w:t>validation</w:t>
      </w:r>
      <w:r w:rsidRPr="0048702F">
        <w:rPr>
          <w:rFonts w:ascii="Times New Roman" w:hAnsi="Times New Roman" w:cs="Times New Roman"/>
          <w:i/>
          <w:sz w:val="24"/>
          <w:szCs w:val="24"/>
        </w:rPr>
        <w:t xml:space="preserve"> and verification </w:t>
      </w:r>
      <w:r w:rsidR="00511B8F" w:rsidRPr="0048702F">
        <w:rPr>
          <w:rFonts w:ascii="Times New Roman" w:hAnsi="Times New Roman" w:cs="Times New Roman"/>
          <w:i/>
          <w:sz w:val="24"/>
          <w:szCs w:val="24"/>
        </w:rPr>
        <w:t>of results</w:t>
      </w:r>
      <w:r w:rsidR="00F127CD">
        <w:rPr>
          <w:rFonts w:ascii="Times New Roman" w:hAnsi="Times New Roman" w:cs="Times New Roman"/>
          <w:i/>
          <w:sz w:val="24"/>
          <w:szCs w:val="24"/>
        </w:rPr>
        <w:t xml:space="preserve"> </w:t>
      </w:r>
      <w:r w:rsidR="00F127CD">
        <w:rPr>
          <w:rFonts w:ascii="Times New Roman" w:hAnsi="Times New Roman" w:cs="Times New Roman"/>
          <w:sz w:val="24"/>
          <w:szCs w:val="24"/>
        </w:rPr>
        <w:t>(including monitoring the performance)</w:t>
      </w:r>
      <w:r w:rsidR="004C0295">
        <w:rPr>
          <w:rFonts w:ascii="Times New Roman" w:hAnsi="Times New Roman" w:cs="Times New Roman"/>
          <w:sz w:val="24"/>
          <w:szCs w:val="24"/>
        </w:rPr>
        <w:t xml:space="preserve">, </w:t>
      </w:r>
      <w:r w:rsidR="004C0295" w:rsidRPr="00F127CD">
        <w:rPr>
          <w:rFonts w:ascii="Times New Roman" w:hAnsi="Times New Roman" w:cs="Times New Roman"/>
          <w:i/>
          <w:sz w:val="24"/>
          <w:szCs w:val="24"/>
        </w:rPr>
        <w:t>by a third party to be hired by Bancoldex</w:t>
      </w:r>
      <w:r w:rsidR="009E4191" w:rsidRPr="004832EE">
        <w:rPr>
          <w:rFonts w:ascii="Times New Roman" w:hAnsi="Times New Roman" w:cs="Times New Roman"/>
          <w:sz w:val="24"/>
          <w:szCs w:val="24"/>
        </w:rPr>
        <w:t>. Such independent third party would also assess the technical expertise of the technical services providers, the quality of the project proposals developed by them (including their technical design and their expected energy savings), and their project monitoring plans and performance reports</w:t>
      </w:r>
      <w:r w:rsidRPr="004832EE">
        <w:rPr>
          <w:rFonts w:ascii="Times New Roman" w:hAnsi="Times New Roman" w:cs="Times New Roman"/>
          <w:sz w:val="24"/>
          <w:szCs w:val="24"/>
        </w:rPr>
        <w:t xml:space="preserve">.  </w:t>
      </w:r>
      <w:r w:rsidR="00D36F9B">
        <w:rPr>
          <w:rFonts w:ascii="Times New Roman" w:hAnsi="Times New Roman" w:cs="Times New Roman"/>
          <w:sz w:val="24"/>
          <w:szCs w:val="24"/>
        </w:rPr>
        <w:t xml:space="preserve">The third party will further assess with onsite visits whether projects have installed proposed equipment, have implemented monitoring requirements and have undertaken necessary measures to dispose and decommission the old equipment replaced. </w:t>
      </w:r>
    </w:p>
    <w:p w:rsidR="00AF4034" w:rsidRPr="004832EE" w:rsidRDefault="00661646" w:rsidP="00BB4065">
      <w:pPr>
        <w:pStyle w:val="ListParagraph"/>
        <w:numPr>
          <w:ilvl w:val="0"/>
          <w:numId w:val="2"/>
        </w:numPr>
        <w:jc w:val="both"/>
        <w:rPr>
          <w:rFonts w:ascii="Times New Roman" w:hAnsi="Times New Roman" w:cs="Times New Roman"/>
          <w:sz w:val="24"/>
          <w:szCs w:val="24"/>
        </w:rPr>
      </w:pPr>
      <w:r w:rsidRPr="0048702F">
        <w:rPr>
          <w:rFonts w:ascii="Times New Roman" w:hAnsi="Times New Roman" w:cs="Times New Roman"/>
          <w:i/>
          <w:sz w:val="24"/>
          <w:szCs w:val="24"/>
        </w:rPr>
        <w:t xml:space="preserve">Development of a payment scheme for </w:t>
      </w:r>
      <w:r w:rsidR="009E4191" w:rsidRPr="0048702F">
        <w:rPr>
          <w:rFonts w:ascii="Times New Roman" w:hAnsi="Times New Roman" w:cs="Times New Roman"/>
          <w:i/>
          <w:sz w:val="24"/>
          <w:szCs w:val="24"/>
        </w:rPr>
        <w:t>technical</w:t>
      </w:r>
      <w:r w:rsidRPr="0048702F">
        <w:rPr>
          <w:rFonts w:ascii="Times New Roman" w:hAnsi="Times New Roman" w:cs="Times New Roman"/>
          <w:i/>
          <w:sz w:val="24"/>
          <w:szCs w:val="24"/>
        </w:rPr>
        <w:t xml:space="preserve"> service providers</w:t>
      </w:r>
      <w:r w:rsidRPr="004832EE">
        <w:rPr>
          <w:rFonts w:ascii="Times New Roman" w:hAnsi="Times New Roman" w:cs="Times New Roman"/>
          <w:sz w:val="24"/>
          <w:szCs w:val="24"/>
        </w:rPr>
        <w:t xml:space="preserve"> that provides incentives for high quality support</w:t>
      </w:r>
      <w:r w:rsidR="009E4191" w:rsidRPr="004832EE">
        <w:rPr>
          <w:rFonts w:ascii="Times New Roman" w:hAnsi="Times New Roman" w:cs="Times New Roman"/>
          <w:sz w:val="24"/>
          <w:szCs w:val="24"/>
        </w:rPr>
        <w:t xml:space="preserve">. Such scheme </w:t>
      </w:r>
      <w:r w:rsidR="002B0CD5" w:rsidRPr="004832EE">
        <w:rPr>
          <w:rFonts w:ascii="Times New Roman" w:hAnsi="Times New Roman" w:cs="Times New Roman"/>
          <w:sz w:val="24"/>
          <w:szCs w:val="24"/>
        </w:rPr>
        <w:t xml:space="preserve">should contemplate: i) a partial payment when the technical and financial proposal is validated by an independent technical third party and the investment loan is granted to the beneficiary firm to cover investment costs; and ii) semi-annual or annual performance payments based on the achievement of the </w:t>
      </w:r>
      <w:r w:rsidR="002B0CD5" w:rsidRPr="004832EE">
        <w:rPr>
          <w:rFonts w:ascii="Times New Roman" w:hAnsi="Times New Roman" w:cs="Times New Roman"/>
          <w:sz w:val="24"/>
          <w:szCs w:val="24"/>
        </w:rPr>
        <w:lastRenderedPageBreak/>
        <w:t xml:space="preserve">promised energy savings once the project starts its execution phase. The cost of the technical services would be financed by the credit line itself. </w:t>
      </w:r>
      <w:r w:rsidRPr="004832EE">
        <w:rPr>
          <w:rFonts w:ascii="Times New Roman" w:hAnsi="Times New Roman" w:cs="Times New Roman"/>
          <w:sz w:val="24"/>
          <w:szCs w:val="24"/>
        </w:rPr>
        <w:t xml:space="preserve"> </w:t>
      </w:r>
    </w:p>
    <w:p w:rsidR="00AF4034" w:rsidRPr="004832EE" w:rsidRDefault="00661646" w:rsidP="00BB4065">
      <w:pPr>
        <w:pStyle w:val="ListParagraph"/>
        <w:numPr>
          <w:ilvl w:val="0"/>
          <w:numId w:val="2"/>
        </w:numPr>
        <w:jc w:val="both"/>
        <w:rPr>
          <w:rFonts w:ascii="Times New Roman" w:hAnsi="Times New Roman" w:cs="Times New Roman"/>
          <w:sz w:val="24"/>
          <w:szCs w:val="24"/>
        </w:rPr>
      </w:pPr>
      <w:r w:rsidRPr="0048702F">
        <w:rPr>
          <w:rFonts w:ascii="Times New Roman" w:hAnsi="Times New Roman" w:cs="Times New Roman"/>
          <w:i/>
          <w:sz w:val="24"/>
          <w:szCs w:val="24"/>
        </w:rPr>
        <w:t>Development of an insurance polic</w:t>
      </w:r>
      <w:r w:rsidR="002A4D47" w:rsidRPr="0048702F">
        <w:rPr>
          <w:rFonts w:ascii="Times New Roman" w:hAnsi="Times New Roman" w:cs="Times New Roman"/>
          <w:i/>
          <w:sz w:val="24"/>
          <w:szCs w:val="24"/>
        </w:rPr>
        <w:t>y</w:t>
      </w:r>
      <w:r w:rsidRPr="0048702F">
        <w:rPr>
          <w:rFonts w:ascii="Times New Roman" w:hAnsi="Times New Roman" w:cs="Times New Roman"/>
          <w:i/>
          <w:sz w:val="24"/>
          <w:szCs w:val="24"/>
        </w:rPr>
        <w:t xml:space="preserve"> to cover </w:t>
      </w:r>
      <w:r w:rsidR="002A4D47" w:rsidRPr="0048702F">
        <w:rPr>
          <w:rFonts w:ascii="Times New Roman" w:hAnsi="Times New Roman" w:cs="Times New Roman"/>
          <w:i/>
          <w:sz w:val="24"/>
          <w:szCs w:val="24"/>
        </w:rPr>
        <w:t xml:space="preserve">the </w:t>
      </w:r>
      <w:r w:rsidRPr="0048702F">
        <w:rPr>
          <w:rFonts w:ascii="Times New Roman" w:hAnsi="Times New Roman" w:cs="Times New Roman"/>
          <w:i/>
          <w:sz w:val="24"/>
          <w:szCs w:val="24"/>
        </w:rPr>
        <w:t xml:space="preserve">risks associated to the </w:t>
      </w:r>
      <w:r w:rsidR="002A4D47" w:rsidRPr="0048702F">
        <w:rPr>
          <w:rFonts w:ascii="Times New Roman" w:hAnsi="Times New Roman" w:cs="Times New Roman"/>
          <w:i/>
          <w:sz w:val="24"/>
          <w:szCs w:val="24"/>
        </w:rPr>
        <w:t xml:space="preserve">technical </w:t>
      </w:r>
      <w:r w:rsidRPr="0048702F">
        <w:rPr>
          <w:rFonts w:ascii="Times New Roman" w:hAnsi="Times New Roman" w:cs="Times New Roman"/>
          <w:i/>
          <w:sz w:val="24"/>
          <w:szCs w:val="24"/>
        </w:rPr>
        <w:t>services</w:t>
      </w:r>
      <w:r w:rsidRPr="004832EE">
        <w:rPr>
          <w:rFonts w:ascii="Times New Roman" w:hAnsi="Times New Roman" w:cs="Times New Roman"/>
          <w:sz w:val="24"/>
          <w:szCs w:val="24"/>
        </w:rPr>
        <w:t xml:space="preserve"> to be provided by </w:t>
      </w:r>
      <w:r w:rsidR="002A4D47" w:rsidRPr="004832EE">
        <w:rPr>
          <w:rFonts w:ascii="Times New Roman" w:hAnsi="Times New Roman" w:cs="Times New Roman"/>
          <w:sz w:val="24"/>
          <w:szCs w:val="24"/>
        </w:rPr>
        <w:t xml:space="preserve">the technical </w:t>
      </w:r>
      <w:r w:rsidRPr="004832EE">
        <w:rPr>
          <w:rFonts w:ascii="Times New Roman" w:hAnsi="Times New Roman" w:cs="Times New Roman"/>
          <w:sz w:val="24"/>
          <w:szCs w:val="24"/>
        </w:rPr>
        <w:t>service</w:t>
      </w:r>
      <w:r w:rsidR="002A4D47" w:rsidRPr="004832EE">
        <w:rPr>
          <w:rFonts w:ascii="Times New Roman" w:hAnsi="Times New Roman" w:cs="Times New Roman"/>
          <w:sz w:val="24"/>
          <w:szCs w:val="24"/>
        </w:rPr>
        <w:t>s</w:t>
      </w:r>
      <w:r w:rsidRPr="004832EE">
        <w:rPr>
          <w:rFonts w:ascii="Times New Roman" w:hAnsi="Times New Roman" w:cs="Times New Roman"/>
          <w:sz w:val="24"/>
          <w:szCs w:val="24"/>
        </w:rPr>
        <w:t xml:space="preserve"> providers as well as other </w:t>
      </w:r>
      <w:r w:rsidR="002A4D47" w:rsidRPr="004832EE">
        <w:rPr>
          <w:rFonts w:ascii="Times New Roman" w:hAnsi="Times New Roman" w:cs="Times New Roman"/>
          <w:sz w:val="24"/>
          <w:szCs w:val="24"/>
        </w:rPr>
        <w:t xml:space="preserve">potential </w:t>
      </w:r>
      <w:r w:rsidRPr="004832EE">
        <w:rPr>
          <w:rFonts w:ascii="Times New Roman" w:hAnsi="Times New Roman" w:cs="Times New Roman"/>
          <w:sz w:val="24"/>
          <w:szCs w:val="24"/>
        </w:rPr>
        <w:t xml:space="preserve">performance related issues.  The </w:t>
      </w:r>
      <w:r w:rsidR="002A4D47" w:rsidRPr="004832EE">
        <w:rPr>
          <w:rFonts w:ascii="Times New Roman" w:hAnsi="Times New Roman" w:cs="Times New Roman"/>
          <w:sz w:val="24"/>
          <w:szCs w:val="24"/>
        </w:rPr>
        <w:t xml:space="preserve">performance insurance </w:t>
      </w:r>
      <w:r w:rsidRPr="004832EE">
        <w:rPr>
          <w:rFonts w:ascii="Times New Roman" w:hAnsi="Times New Roman" w:cs="Times New Roman"/>
          <w:sz w:val="24"/>
          <w:szCs w:val="24"/>
        </w:rPr>
        <w:t>polic</w:t>
      </w:r>
      <w:r w:rsidR="002A4D47" w:rsidRPr="004832EE">
        <w:rPr>
          <w:rFonts w:ascii="Times New Roman" w:hAnsi="Times New Roman" w:cs="Times New Roman"/>
          <w:sz w:val="24"/>
          <w:szCs w:val="24"/>
        </w:rPr>
        <w:t>y</w:t>
      </w:r>
      <w:r w:rsidRPr="004832EE">
        <w:rPr>
          <w:rFonts w:ascii="Times New Roman" w:hAnsi="Times New Roman" w:cs="Times New Roman"/>
          <w:sz w:val="24"/>
          <w:szCs w:val="24"/>
        </w:rPr>
        <w:t xml:space="preserve"> would be acquired </w:t>
      </w:r>
      <w:r w:rsidR="004C0295">
        <w:rPr>
          <w:rFonts w:ascii="Times New Roman" w:hAnsi="Times New Roman" w:cs="Times New Roman"/>
          <w:sz w:val="24"/>
          <w:szCs w:val="24"/>
        </w:rPr>
        <w:t xml:space="preserve">and paid for </w:t>
      </w:r>
      <w:r w:rsidRPr="004832EE">
        <w:rPr>
          <w:rFonts w:ascii="Times New Roman" w:hAnsi="Times New Roman" w:cs="Times New Roman"/>
          <w:sz w:val="24"/>
          <w:szCs w:val="24"/>
        </w:rPr>
        <w:t xml:space="preserve">by the </w:t>
      </w:r>
      <w:r w:rsidR="002A4D47" w:rsidRPr="004832EE">
        <w:rPr>
          <w:rFonts w:ascii="Times New Roman" w:hAnsi="Times New Roman" w:cs="Times New Roman"/>
          <w:sz w:val="24"/>
          <w:szCs w:val="24"/>
        </w:rPr>
        <w:t xml:space="preserve">technical services </w:t>
      </w:r>
      <w:r w:rsidRPr="004832EE">
        <w:rPr>
          <w:rFonts w:ascii="Times New Roman" w:hAnsi="Times New Roman" w:cs="Times New Roman"/>
          <w:sz w:val="24"/>
          <w:szCs w:val="24"/>
        </w:rPr>
        <w:t xml:space="preserve">providers </w:t>
      </w:r>
      <w:r w:rsidR="002A4D47" w:rsidRPr="004832EE">
        <w:rPr>
          <w:rFonts w:ascii="Times New Roman" w:hAnsi="Times New Roman" w:cs="Times New Roman"/>
          <w:sz w:val="24"/>
          <w:szCs w:val="24"/>
        </w:rPr>
        <w:t xml:space="preserve">and the beneficiary would be the firms making the investment and assuming the loan for such investment. </w:t>
      </w:r>
      <w:r w:rsidRPr="004832EE">
        <w:rPr>
          <w:rFonts w:ascii="Times New Roman" w:hAnsi="Times New Roman" w:cs="Times New Roman"/>
          <w:sz w:val="24"/>
          <w:szCs w:val="24"/>
        </w:rPr>
        <w:t xml:space="preserve"> The polic</w:t>
      </w:r>
      <w:r w:rsidR="002A4D47" w:rsidRPr="004832EE">
        <w:rPr>
          <w:rFonts w:ascii="Times New Roman" w:hAnsi="Times New Roman" w:cs="Times New Roman"/>
          <w:sz w:val="24"/>
          <w:szCs w:val="24"/>
        </w:rPr>
        <w:t>y</w:t>
      </w:r>
      <w:r w:rsidRPr="004832EE">
        <w:rPr>
          <w:rFonts w:ascii="Times New Roman" w:hAnsi="Times New Roman" w:cs="Times New Roman"/>
          <w:sz w:val="24"/>
          <w:szCs w:val="24"/>
        </w:rPr>
        <w:t xml:space="preserve"> would ensure that i</w:t>
      </w:r>
      <w:r w:rsidR="00651F04" w:rsidRPr="004832EE">
        <w:rPr>
          <w:rFonts w:ascii="Times New Roman" w:hAnsi="Times New Roman" w:cs="Times New Roman"/>
          <w:sz w:val="24"/>
          <w:szCs w:val="24"/>
        </w:rPr>
        <w:t>f</w:t>
      </w:r>
      <w:r w:rsidR="004832EE">
        <w:rPr>
          <w:rFonts w:ascii="Times New Roman" w:hAnsi="Times New Roman" w:cs="Times New Roman"/>
          <w:sz w:val="24"/>
          <w:szCs w:val="24"/>
        </w:rPr>
        <w:t xml:space="preserve"> </w:t>
      </w:r>
      <w:r w:rsidRPr="004832EE">
        <w:rPr>
          <w:rFonts w:ascii="Times New Roman" w:hAnsi="Times New Roman" w:cs="Times New Roman"/>
          <w:sz w:val="24"/>
          <w:szCs w:val="24"/>
        </w:rPr>
        <w:t xml:space="preserve">the project does not achieve the level of </w:t>
      </w:r>
      <w:r w:rsidR="00651F04" w:rsidRPr="004832EE">
        <w:rPr>
          <w:rFonts w:ascii="Times New Roman" w:hAnsi="Times New Roman" w:cs="Times New Roman"/>
          <w:sz w:val="24"/>
          <w:szCs w:val="24"/>
        </w:rPr>
        <w:t>energy savings promised at the beginning of the project, giv</w:t>
      </w:r>
      <w:r w:rsidR="004832EE">
        <w:rPr>
          <w:rFonts w:ascii="Times New Roman" w:hAnsi="Times New Roman" w:cs="Times New Roman"/>
          <w:sz w:val="24"/>
          <w:szCs w:val="24"/>
        </w:rPr>
        <w:t xml:space="preserve">en an agreed level of activity, </w:t>
      </w:r>
      <w:r w:rsidRPr="004832EE">
        <w:rPr>
          <w:rFonts w:ascii="Times New Roman" w:hAnsi="Times New Roman" w:cs="Times New Roman"/>
          <w:sz w:val="24"/>
          <w:szCs w:val="24"/>
        </w:rPr>
        <w:t xml:space="preserve">the </w:t>
      </w:r>
      <w:r w:rsidR="002A4D47" w:rsidRPr="004832EE">
        <w:rPr>
          <w:rFonts w:ascii="Times New Roman" w:hAnsi="Times New Roman" w:cs="Times New Roman"/>
          <w:sz w:val="24"/>
          <w:szCs w:val="24"/>
        </w:rPr>
        <w:t xml:space="preserve">beneficiary firm </w:t>
      </w:r>
      <w:r w:rsidRPr="004832EE">
        <w:rPr>
          <w:rFonts w:ascii="Times New Roman" w:hAnsi="Times New Roman" w:cs="Times New Roman"/>
          <w:sz w:val="24"/>
          <w:szCs w:val="24"/>
        </w:rPr>
        <w:t xml:space="preserve">would receive a </w:t>
      </w:r>
      <w:r w:rsidR="00651F04" w:rsidRPr="004832EE">
        <w:rPr>
          <w:rFonts w:ascii="Times New Roman" w:hAnsi="Times New Roman" w:cs="Times New Roman"/>
          <w:sz w:val="24"/>
          <w:szCs w:val="24"/>
        </w:rPr>
        <w:t xml:space="preserve">monetary </w:t>
      </w:r>
      <w:r w:rsidRPr="004832EE">
        <w:rPr>
          <w:rFonts w:ascii="Times New Roman" w:hAnsi="Times New Roman" w:cs="Times New Roman"/>
          <w:sz w:val="24"/>
          <w:szCs w:val="24"/>
        </w:rPr>
        <w:t xml:space="preserve">compensation </w:t>
      </w:r>
      <w:r w:rsidR="002A4D47" w:rsidRPr="004832EE">
        <w:rPr>
          <w:rFonts w:ascii="Times New Roman" w:hAnsi="Times New Roman" w:cs="Times New Roman"/>
          <w:sz w:val="24"/>
          <w:szCs w:val="24"/>
        </w:rPr>
        <w:t xml:space="preserve">equivalent to the difference between the </w:t>
      </w:r>
      <w:r w:rsidR="00651F04" w:rsidRPr="004832EE">
        <w:rPr>
          <w:rFonts w:ascii="Times New Roman" w:hAnsi="Times New Roman" w:cs="Times New Roman"/>
          <w:sz w:val="24"/>
          <w:szCs w:val="24"/>
        </w:rPr>
        <w:t xml:space="preserve">promised </w:t>
      </w:r>
      <w:r w:rsidR="002A4D47" w:rsidRPr="004832EE">
        <w:rPr>
          <w:rFonts w:ascii="Times New Roman" w:hAnsi="Times New Roman" w:cs="Times New Roman"/>
          <w:sz w:val="24"/>
          <w:szCs w:val="24"/>
        </w:rPr>
        <w:t xml:space="preserve">energy savings </w:t>
      </w:r>
      <w:r w:rsidR="00651F04" w:rsidRPr="004832EE">
        <w:rPr>
          <w:rFonts w:ascii="Times New Roman" w:hAnsi="Times New Roman" w:cs="Times New Roman"/>
          <w:sz w:val="24"/>
          <w:szCs w:val="24"/>
        </w:rPr>
        <w:t xml:space="preserve">at the beginning of the period </w:t>
      </w:r>
      <w:r w:rsidR="002A4D47" w:rsidRPr="004832EE">
        <w:rPr>
          <w:rFonts w:ascii="Times New Roman" w:hAnsi="Times New Roman" w:cs="Times New Roman"/>
          <w:sz w:val="24"/>
          <w:szCs w:val="24"/>
        </w:rPr>
        <w:t xml:space="preserve">and the actual </w:t>
      </w:r>
      <w:r w:rsidR="00651F04" w:rsidRPr="004832EE">
        <w:rPr>
          <w:rFonts w:ascii="Times New Roman" w:hAnsi="Times New Roman" w:cs="Times New Roman"/>
          <w:sz w:val="24"/>
          <w:szCs w:val="24"/>
        </w:rPr>
        <w:t xml:space="preserve">energy savings of any given period, multiplied by the agreed price of energy at the beginning of the execution of the project. </w:t>
      </w:r>
      <w:r w:rsidRPr="004832EE">
        <w:rPr>
          <w:rFonts w:ascii="Times New Roman" w:hAnsi="Times New Roman" w:cs="Times New Roman"/>
          <w:sz w:val="24"/>
          <w:szCs w:val="24"/>
        </w:rPr>
        <w:t xml:space="preserve">  </w:t>
      </w:r>
    </w:p>
    <w:p w:rsidR="00BB4065" w:rsidRDefault="00661646" w:rsidP="00BB4065">
      <w:pPr>
        <w:pStyle w:val="ListParagraph"/>
        <w:numPr>
          <w:ilvl w:val="0"/>
          <w:numId w:val="2"/>
        </w:numPr>
        <w:jc w:val="both"/>
        <w:rPr>
          <w:rFonts w:ascii="Times New Roman" w:hAnsi="Times New Roman" w:cs="Times New Roman"/>
          <w:sz w:val="24"/>
          <w:szCs w:val="24"/>
        </w:rPr>
      </w:pPr>
      <w:r w:rsidRPr="0048702F">
        <w:rPr>
          <w:rFonts w:ascii="Times New Roman" w:hAnsi="Times New Roman" w:cs="Times New Roman"/>
          <w:i/>
          <w:sz w:val="24"/>
          <w:szCs w:val="24"/>
        </w:rPr>
        <w:t xml:space="preserve">Design and implementation of a </w:t>
      </w:r>
      <w:r w:rsidR="00651F04" w:rsidRPr="0048702F">
        <w:rPr>
          <w:rFonts w:ascii="Times New Roman" w:hAnsi="Times New Roman" w:cs="Times New Roman"/>
          <w:i/>
          <w:sz w:val="24"/>
          <w:szCs w:val="24"/>
        </w:rPr>
        <w:t xml:space="preserve">strategy </w:t>
      </w:r>
      <w:r w:rsidRPr="0048702F">
        <w:rPr>
          <w:rFonts w:ascii="Times New Roman" w:hAnsi="Times New Roman" w:cs="Times New Roman"/>
          <w:i/>
          <w:sz w:val="24"/>
          <w:szCs w:val="24"/>
        </w:rPr>
        <w:t xml:space="preserve">to promote </w:t>
      </w:r>
      <w:r w:rsidRPr="00F127CD">
        <w:rPr>
          <w:rFonts w:ascii="Times New Roman" w:hAnsi="Times New Roman" w:cs="Times New Roman"/>
          <w:i/>
          <w:sz w:val="24"/>
          <w:szCs w:val="24"/>
        </w:rPr>
        <w:t xml:space="preserve">the program to potential </w:t>
      </w:r>
      <w:r w:rsidR="00651F04" w:rsidRPr="00F127CD">
        <w:rPr>
          <w:rFonts w:ascii="Times New Roman" w:hAnsi="Times New Roman" w:cs="Times New Roman"/>
          <w:i/>
          <w:sz w:val="24"/>
          <w:szCs w:val="24"/>
        </w:rPr>
        <w:t xml:space="preserve">beneficiary </w:t>
      </w:r>
      <w:r w:rsidRPr="00F127CD">
        <w:rPr>
          <w:rFonts w:ascii="Times New Roman" w:hAnsi="Times New Roman" w:cs="Times New Roman"/>
          <w:i/>
          <w:sz w:val="24"/>
          <w:szCs w:val="24"/>
        </w:rPr>
        <w:t xml:space="preserve">clients </w:t>
      </w:r>
      <w:r w:rsidRPr="004832EE">
        <w:rPr>
          <w:rFonts w:ascii="Times New Roman" w:hAnsi="Times New Roman" w:cs="Times New Roman"/>
          <w:sz w:val="24"/>
          <w:szCs w:val="24"/>
        </w:rPr>
        <w:t xml:space="preserve">(including </w:t>
      </w:r>
      <w:r w:rsidR="00651F04" w:rsidRPr="004832EE">
        <w:rPr>
          <w:rFonts w:ascii="Times New Roman" w:hAnsi="Times New Roman" w:cs="Times New Roman"/>
          <w:sz w:val="24"/>
          <w:szCs w:val="24"/>
        </w:rPr>
        <w:t xml:space="preserve">the full technical design of some bankable project proposals to </w:t>
      </w:r>
      <w:r w:rsidR="00DF7F49" w:rsidRPr="004832EE">
        <w:rPr>
          <w:rFonts w:ascii="Times New Roman" w:hAnsi="Times New Roman" w:cs="Times New Roman"/>
          <w:sz w:val="24"/>
          <w:szCs w:val="24"/>
        </w:rPr>
        <w:t xml:space="preserve">pilot the proposed financing scheme). </w:t>
      </w:r>
      <w:r w:rsidRPr="004832EE">
        <w:rPr>
          <w:rFonts w:ascii="Times New Roman" w:hAnsi="Times New Roman" w:cs="Times New Roman"/>
          <w:sz w:val="24"/>
          <w:szCs w:val="24"/>
        </w:rPr>
        <w:t xml:space="preserve">  </w:t>
      </w:r>
      <w:r w:rsidR="00F127CD" w:rsidRPr="00D80DC8">
        <w:rPr>
          <w:rFonts w:ascii="Times New Roman" w:hAnsi="Times New Roman" w:cs="Times New Roman"/>
          <w:sz w:val="24"/>
          <w:szCs w:val="24"/>
        </w:rPr>
        <w:t xml:space="preserve">This intervention will include the demonstration of the economic benefits of energy efficiency projects in market-representative hotels and hospital (SMEs). In order to develop this activity five energy audits </w:t>
      </w:r>
      <w:r w:rsidR="00992735" w:rsidRPr="00D80DC8">
        <w:rPr>
          <w:rFonts w:ascii="Times New Roman" w:hAnsi="Times New Roman" w:cs="Times New Roman"/>
          <w:sz w:val="24"/>
          <w:szCs w:val="24"/>
        </w:rPr>
        <w:t xml:space="preserve">will be funded </w:t>
      </w:r>
      <w:r w:rsidR="00F127CD" w:rsidRPr="00D80DC8">
        <w:rPr>
          <w:rFonts w:ascii="Times New Roman" w:hAnsi="Times New Roman" w:cs="Times New Roman"/>
          <w:sz w:val="24"/>
          <w:szCs w:val="24"/>
        </w:rPr>
        <w:t>with the aim to use the output information as awareness</w:t>
      </w:r>
      <w:r w:rsidR="00992735">
        <w:rPr>
          <w:rFonts w:ascii="Times New Roman" w:hAnsi="Times New Roman" w:cs="Times New Roman"/>
          <w:sz w:val="24"/>
          <w:szCs w:val="24"/>
        </w:rPr>
        <w:t>-</w:t>
      </w:r>
      <w:r w:rsidR="00992735" w:rsidRPr="00D80DC8">
        <w:rPr>
          <w:rFonts w:ascii="Times New Roman" w:hAnsi="Times New Roman" w:cs="Times New Roman"/>
          <w:sz w:val="24"/>
          <w:szCs w:val="24"/>
        </w:rPr>
        <w:t>r</w:t>
      </w:r>
      <w:r w:rsidR="00992735">
        <w:rPr>
          <w:rFonts w:ascii="Times New Roman" w:hAnsi="Times New Roman" w:cs="Times New Roman"/>
          <w:sz w:val="24"/>
          <w:szCs w:val="24"/>
        </w:rPr>
        <w:t>a</w:t>
      </w:r>
      <w:r w:rsidR="00992735" w:rsidRPr="00D80DC8">
        <w:rPr>
          <w:rFonts w:ascii="Times New Roman" w:hAnsi="Times New Roman" w:cs="Times New Roman"/>
          <w:sz w:val="24"/>
          <w:szCs w:val="24"/>
        </w:rPr>
        <w:t xml:space="preserve">ising </w:t>
      </w:r>
      <w:r w:rsidR="00F127CD" w:rsidRPr="00D80DC8">
        <w:rPr>
          <w:rFonts w:ascii="Times New Roman" w:hAnsi="Times New Roman" w:cs="Times New Roman"/>
          <w:sz w:val="24"/>
          <w:szCs w:val="24"/>
        </w:rPr>
        <w:t xml:space="preserve">material (this information is normally confidential, so the objective to pay </w:t>
      </w:r>
      <w:r w:rsidR="00992735">
        <w:rPr>
          <w:rFonts w:ascii="Times New Roman" w:hAnsi="Times New Roman" w:cs="Times New Roman"/>
          <w:sz w:val="24"/>
          <w:szCs w:val="24"/>
        </w:rPr>
        <w:t xml:space="preserve">for </w:t>
      </w:r>
      <w:r w:rsidR="00F127CD" w:rsidRPr="00D80DC8">
        <w:rPr>
          <w:rFonts w:ascii="Times New Roman" w:hAnsi="Times New Roman" w:cs="Times New Roman"/>
          <w:sz w:val="24"/>
          <w:szCs w:val="24"/>
        </w:rPr>
        <w:t>the EE audits is to own the data, and use it as a promotion material). A second goal of this phase is to use the energy audits as cataly</w:t>
      </w:r>
      <w:r w:rsidR="00992735">
        <w:rPr>
          <w:rFonts w:ascii="Times New Roman" w:hAnsi="Times New Roman" w:cs="Times New Roman"/>
          <w:sz w:val="24"/>
          <w:szCs w:val="24"/>
        </w:rPr>
        <w:t>sts</w:t>
      </w:r>
      <w:r w:rsidR="00F127CD" w:rsidRPr="00D80DC8">
        <w:rPr>
          <w:rFonts w:ascii="Times New Roman" w:hAnsi="Times New Roman" w:cs="Times New Roman"/>
          <w:sz w:val="24"/>
          <w:szCs w:val="24"/>
        </w:rPr>
        <w:t xml:space="preserve"> to implement the EE projects (demonstrative projects) for the LFI, Insurance, ESCO, and clients and engage them in executing the projects. The final objective of this intervention is to stimulate the demand (clients) to invest in EE projects, and as a learning process for the stakeholders.</w:t>
      </w:r>
    </w:p>
    <w:p w:rsidR="00E23B69" w:rsidRPr="004832EE" w:rsidRDefault="00E23B69" w:rsidP="00BB4065">
      <w:pPr>
        <w:jc w:val="both"/>
        <w:rPr>
          <w:rFonts w:ascii="Times New Roman" w:hAnsi="Times New Roman" w:cs="Times New Roman"/>
          <w:i/>
          <w:sz w:val="24"/>
          <w:szCs w:val="24"/>
        </w:rPr>
      </w:pPr>
      <w:r w:rsidRPr="004832EE">
        <w:rPr>
          <w:rFonts w:ascii="Times New Roman" w:hAnsi="Times New Roman" w:cs="Times New Roman"/>
          <w:sz w:val="24"/>
          <w:szCs w:val="24"/>
        </w:rPr>
        <w:t>The proposed scheme would initially be piloted in th</w:t>
      </w:r>
      <w:r w:rsidR="0050589F" w:rsidRPr="004832EE">
        <w:rPr>
          <w:rFonts w:ascii="Times New Roman" w:hAnsi="Times New Roman" w:cs="Times New Roman"/>
          <w:sz w:val="24"/>
          <w:szCs w:val="24"/>
        </w:rPr>
        <w:t>e</w:t>
      </w:r>
      <w:r w:rsidRPr="004832EE">
        <w:rPr>
          <w:rFonts w:ascii="Times New Roman" w:hAnsi="Times New Roman" w:cs="Times New Roman"/>
          <w:sz w:val="24"/>
          <w:szCs w:val="24"/>
        </w:rPr>
        <w:t xml:space="preserve"> hotel and clinics</w:t>
      </w:r>
      <w:r w:rsidR="004832EE">
        <w:rPr>
          <w:rFonts w:ascii="Times New Roman" w:hAnsi="Times New Roman" w:cs="Times New Roman"/>
          <w:sz w:val="24"/>
          <w:szCs w:val="24"/>
        </w:rPr>
        <w:t>/hospital sub-</w:t>
      </w:r>
      <w:r w:rsidR="0050589F" w:rsidRPr="004832EE">
        <w:rPr>
          <w:rFonts w:ascii="Times New Roman" w:hAnsi="Times New Roman" w:cs="Times New Roman"/>
          <w:sz w:val="24"/>
          <w:szCs w:val="24"/>
        </w:rPr>
        <w:t>sectors</w:t>
      </w:r>
      <w:r w:rsidRPr="004832EE">
        <w:rPr>
          <w:rFonts w:ascii="Times New Roman" w:hAnsi="Times New Roman" w:cs="Times New Roman"/>
          <w:sz w:val="24"/>
          <w:szCs w:val="24"/>
        </w:rPr>
        <w:t xml:space="preserve">. </w:t>
      </w:r>
      <w:r w:rsidR="0050589F" w:rsidRPr="004832EE">
        <w:rPr>
          <w:rFonts w:ascii="Times New Roman" w:hAnsi="Times New Roman" w:cs="Times New Roman"/>
          <w:sz w:val="24"/>
          <w:szCs w:val="24"/>
        </w:rPr>
        <w:t xml:space="preserve">These sub-sectors were selected to pilot the program’s proposed financing strategy </w:t>
      </w:r>
      <w:r w:rsidRPr="004832EE">
        <w:rPr>
          <w:rFonts w:ascii="Times New Roman" w:hAnsi="Times New Roman" w:cs="Times New Roman"/>
          <w:sz w:val="24"/>
          <w:szCs w:val="24"/>
        </w:rPr>
        <w:t xml:space="preserve">because </w:t>
      </w:r>
      <w:r w:rsidR="0050589F" w:rsidRPr="004832EE">
        <w:rPr>
          <w:rFonts w:ascii="Times New Roman" w:hAnsi="Times New Roman" w:cs="Times New Roman"/>
          <w:sz w:val="24"/>
          <w:szCs w:val="24"/>
          <w:lang w:val="en-GB"/>
        </w:rPr>
        <w:t xml:space="preserve">GHG emissions reductions, though relatively smaller than in other sectors, could be achieved more cost-effectively and because they could have strong </w:t>
      </w:r>
      <w:r w:rsidRPr="004832EE">
        <w:rPr>
          <w:rFonts w:ascii="Times New Roman" w:hAnsi="Times New Roman" w:cs="Times New Roman"/>
          <w:sz w:val="24"/>
          <w:szCs w:val="24"/>
        </w:rPr>
        <w:t xml:space="preserve">demonstration </w:t>
      </w:r>
      <w:r w:rsidR="0050589F" w:rsidRPr="004832EE">
        <w:rPr>
          <w:rFonts w:ascii="Times New Roman" w:hAnsi="Times New Roman" w:cs="Times New Roman"/>
          <w:sz w:val="24"/>
          <w:szCs w:val="24"/>
        </w:rPr>
        <w:t xml:space="preserve">and replication </w:t>
      </w:r>
      <w:r w:rsidRPr="004832EE">
        <w:rPr>
          <w:rFonts w:ascii="Times New Roman" w:hAnsi="Times New Roman" w:cs="Times New Roman"/>
          <w:sz w:val="24"/>
          <w:szCs w:val="24"/>
        </w:rPr>
        <w:t xml:space="preserve">effect </w:t>
      </w:r>
      <w:r w:rsidR="0050589F" w:rsidRPr="004832EE">
        <w:rPr>
          <w:rFonts w:ascii="Times New Roman" w:hAnsi="Times New Roman" w:cs="Times New Roman"/>
          <w:sz w:val="24"/>
          <w:szCs w:val="24"/>
        </w:rPr>
        <w:t xml:space="preserve">not only in these sub-sectors but also in the services sector. Indeed, it </w:t>
      </w:r>
      <w:r w:rsidRPr="004832EE">
        <w:rPr>
          <w:rFonts w:ascii="Times New Roman" w:hAnsi="Times New Roman" w:cs="Times New Roman"/>
          <w:sz w:val="24"/>
          <w:szCs w:val="24"/>
        </w:rPr>
        <w:t xml:space="preserve">is expected that if the </w:t>
      </w:r>
      <w:r w:rsidR="009B7994" w:rsidRPr="004832EE">
        <w:rPr>
          <w:rFonts w:ascii="Times New Roman" w:hAnsi="Times New Roman" w:cs="Times New Roman"/>
          <w:sz w:val="24"/>
          <w:szCs w:val="24"/>
        </w:rPr>
        <w:t xml:space="preserve">program </w:t>
      </w:r>
      <w:r w:rsidRPr="004832EE">
        <w:rPr>
          <w:rFonts w:ascii="Times New Roman" w:hAnsi="Times New Roman" w:cs="Times New Roman"/>
          <w:sz w:val="24"/>
          <w:szCs w:val="24"/>
        </w:rPr>
        <w:t>succeeds</w:t>
      </w:r>
      <w:r w:rsidR="004832EE">
        <w:rPr>
          <w:rFonts w:ascii="Times New Roman" w:hAnsi="Times New Roman" w:cs="Times New Roman"/>
          <w:sz w:val="24"/>
          <w:szCs w:val="24"/>
        </w:rPr>
        <w:t xml:space="preserve">, </w:t>
      </w:r>
      <w:r w:rsidR="009B7994" w:rsidRPr="004832EE">
        <w:rPr>
          <w:rFonts w:ascii="Times New Roman" w:hAnsi="Times New Roman" w:cs="Times New Roman"/>
          <w:sz w:val="24"/>
          <w:szCs w:val="24"/>
        </w:rPr>
        <w:t xml:space="preserve">the combination of adequate financial terms with risk mitigation instruments and technical support to support the development of the demand-side of the market </w:t>
      </w:r>
      <w:r w:rsidRPr="004832EE">
        <w:rPr>
          <w:rFonts w:ascii="Times New Roman" w:hAnsi="Times New Roman" w:cs="Times New Roman"/>
          <w:sz w:val="24"/>
          <w:szCs w:val="24"/>
        </w:rPr>
        <w:t xml:space="preserve">could be replicated </w:t>
      </w:r>
      <w:r w:rsidR="009B7994" w:rsidRPr="004832EE">
        <w:rPr>
          <w:rFonts w:ascii="Times New Roman" w:hAnsi="Times New Roman" w:cs="Times New Roman"/>
          <w:sz w:val="24"/>
          <w:szCs w:val="24"/>
        </w:rPr>
        <w:t>in</w:t>
      </w:r>
      <w:r w:rsidRPr="004832EE">
        <w:rPr>
          <w:rFonts w:ascii="Times New Roman" w:hAnsi="Times New Roman" w:cs="Times New Roman"/>
          <w:sz w:val="24"/>
          <w:szCs w:val="24"/>
        </w:rPr>
        <w:t xml:space="preserve"> other </w:t>
      </w:r>
      <w:r w:rsidR="009B7994" w:rsidRPr="004832EE">
        <w:rPr>
          <w:rFonts w:ascii="Times New Roman" w:hAnsi="Times New Roman" w:cs="Times New Roman"/>
          <w:sz w:val="24"/>
          <w:szCs w:val="24"/>
        </w:rPr>
        <w:t xml:space="preserve">productive </w:t>
      </w:r>
      <w:r w:rsidRPr="004832EE">
        <w:rPr>
          <w:rFonts w:ascii="Times New Roman" w:hAnsi="Times New Roman" w:cs="Times New Roman"/>
          <w:sz w:val="24"/>
          <w:szCs w:val="24"/>
        </w:rPr>
        <w:t>sectors</w:t>
      </w:r>
      <w:r w:rsidR="00BE298E">
        <w:rPr>
          <w:rFonts w:ascii="Times New Roman" w:hAnsi="Times New Roman" w:cs="Times New Roman"/>
          <w:sz w:val="24"/>
          <w:szCs w:val="24"/>
        </w:rPr>
        <w:t>. This would</w:t>
      </w:r>
      <w:r w:rsidRPr="004832EE">
        <w:rPr>
          <w:rFonts w:ascii="Times New Roman" w:hAnsi="Times New Roman" w:cs="Times New Roman"/>
          <w:sz w:val="24"/>
          <w:szCs w:val="24"/>
        </w:rPr>
        <w:t xml:space="preserve"> provide an alternative </w:t>
      </w:r>
      <w:r w:rsidR="009B7994" w:rsidRPr="004832EE">
        <w:rPr>
          <w:rFonts w:ascii="Times New Roman" w:hAnsi="Times New Roman" w:cs="Times New Roman"/>
          <w:sz w:val="24"/>
          <w:szCs w:val="24"/>
        </w:rPr>
        <w:t xml:space="preserve">financing </w:t>
      </w:r>
      <w:r w:rsidRPr="004832EE">
        <w:rPr>
          <w:rFonts w:ascii="Times New Roman" w:hAnsi="Times New Roman" w:cs="Times New Roman"/>
          <w:sz w:val="24"/>
          <w:szCs w:val="24"/>
        </w:rPr>
        <w:t xml:space="preserve">model to the ESCO </w:t>
      </w:r>
      <w:r w:rsidR="009B7994" w:rsidRPr="004832EE">
        <w:rPr>
          <w:rFonts w:ascii="Times New Roman" w:hAnsi="Times New Roman" w:cs="Times New Roman"/>
          <w:sz w:val="24"/>
          <w:szCs w:val="24"/>
        </w:rPr>
        <w:t>model</w:t>
      </w:r>
      <w:r w:rsidR="002A4D47" w:rsidRPr="004832EE">
        <w:rPr>
          <w:rFonts w:ascii="Times New Roman" w:hAnsi="Times New Roman" w:cs="Times New Roman"/>
          <w:sz w:val="24"/>
          <w:szCs w:val="24"/>
        </w:rPr>
        <w:t xml:space="preserve"> in a country where technical services provides operating under such scheme are practically inexistent. </w:t>
      </w:r>
      <w:r w:rsidRPr="004832EE">
        <w:rPr>
          <w:rFonts w:ascii="Times New Roman" w:hAnsi="Times New Roman" w:cs="Times New Roman"/>
          <w:sz w:val="24"/>
          <w:szCs w:val="24"/>
        </w:rPr>
        <w:t xml:space="preserve"> </w:t>
      </w:r>
      <w:r w:rsidR="00A92C4F">
        <w:rPr>
          <w:rFonts w:ascii="Times New Roman" w:hAnsi="Times New Roman" w:cs="Times New Roman"/>
          <w:sz w:val="24"/>
          <w:szCs w:val="24"/>
        </w:rPr>
        <w:t xml:space="preserve">Finally other interventions envisaged to promote investment by private sector in energy efficiency measures in the Colombian Investment Plan are expected to complement this operation support expansion and further promotion of this model and capacity of energy services providers in Colombia. </w:t>
      </w:r>
    </w:p>
    <w:p w:rsidR="00E23B69" w:rsidRPr="004832EE" w:rsidRDefault="00E23B69" w:rsidP="00E23B69">
      <w:pPr>
        <w:ind w:left="45"/>
        <w:jc w:val="both"/>
        <w:rPr>
          <w:rFonts w:ascii="Times New Roman" w:hAnsi="Times New Roman" w:cs="Times New Roman"/>
          <w:sz w:val="24"/>
          <w:szCs w:val="24"/>
        </w:rPr>
      </w:pPr>
      <w:r w:rsidRPr="004832EE">
        <w:rPr>
          <w:rFonts w:ascii="Times New Roman" w:hAnsi="Times New Roman" w:cs="Times New Roman"/>
          <w:sz w:val="24"/>
          <w:szCs w:val="24"/>
        </w:rPr>
        <w:t xml:space="preserve">A detailed description </w:t>
      </w:r>
      <w:r w:rsidR="002A4D47" w:rsidRPr="004832EE">
        <w:rPr>
          <w:rFonts w:ascii="Times New Roman" w:hAnsi="Times New Roman" w:cs="Times New Roman"/>
          <w:sz w:val="24"/>
          <w:szCs w:val="24"/>
        </w:rPr>
        <w:t xml:space="preserve">on how the two-phase financing scheme would operate is </w:t>
      </w:r>
      <w:r w:rsidRPr="004832EE">
        <w:rPr>
          <w:rFonts w:ascii="Times New Roman" w:hAnsi="Times New Roman" w:cs="Times New Roman"/>
          <w:sz w:val="24"/>
          <w:szCs w:val="24"/>
        </w:rPr>
        <w:t xml:space="preserve">presented </w:t>
      </w:r>
      <w:r w:rsidR="002A4D47" w:rsidRPr="004832EE">
        <w:rPr>
          <w:rFonts w:ascii="Times New Roman" w:hAnsi="Times New Roman" w:cs="Times New Roman"/>
          <w:sz w:val="24"/>
          <w:szCs w:val="24"/>
        </w:rPr>
        <w:t xml:space="preserve">in what follows. </w:t>
      </w:r>
      <w:r w:rsidRPr="004832EE">
        <w:rPr>
          <w:rFonts w:ascii="Times New Roman" w:hAnsi="Times New Roman" w:cs="Times New Roman"/>
          <w:sz w:val="24"/>
          <w:szCs w:val="24"/>
        </w:rPr>
        <w:t xml:space="preserve">  </w:t>
      </w:r>
    </w:p>
    <w:p w:rsidR="00E23B69" w:rsidRPr="004832EE" w:rsidRDefault="00E23B69">
      <w:pPr>
        <w:rPr>
          <w:rFonts w:ascii="Times New Roman" w:hAnsi="Times New Roman" w:cs="Times New Roman"/>
          <w:sz w:val="24"/>
          <w:szCs w:val="24"/>
        </w:rPr>
        <w:sectPr w:rsidR="00E23B69" w:rsidRPr="004832EE" w:rsidSect="00E23B69">
          <w:footerReference w:type="default" r:id="rId9"/>
          <w:pgSz w:w="12240" w:h="15840"/>
          <w:pgMar w:top="1440" w:right="1440" w:bottom="1440" w:left="1440" w:header="720" w:footer="720" w:gutter="0"/>
          <w:cols w:space="720"/>
          <w:docGrid w:linePitch="360"/>
        </w:sectPr>
      </w:pPr>
    </w:p>
    <w:p w:rsidR="00BB4065" w:rsidRPr="004832EE" w:rsidRDefault="00DB260B" w:rsidP="004832EE">
      <w:pPr>
        <w:spacing w:after="120"/>
        <w:jc w:val="both"/>
        <w:rPr>
          <w:rFonts w:ascii="Times New Roman" w:hAnsi="Times New Roman" w:cs="Times New Roman"/>
          <w:i/>
          <w:sz w:val="24"/>
          <w:szCs w:val="24"/>
        </w:rPr>
      </w:pPr>
      <w:r w:rsidRPr="004832EE">
        <w:rPr>
          <w:rFonts w:ascii="Times New Roman" w:hAnsi="Times New Roman" w:cs="Times New Roman"/>
          <w:b/>
          <w:i/>
          <w:sz w:val="24"/>
          <w:szCs w:val="24"/>
        </w:rPr>
        <w:lastRenderedPageBreak/>
        <w:t xml:space="preserve">Phase 1:  Project validation and credit approval: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1:</w:t>
      </w:r>
      <w:r w:rsidRPr="004832EE">
        <w:rPr>
          <w:rFonts w:ascii="Times New Roman" w:hAnsi="Times New Roman" w:cs="Times New Roman"/>
          <w:sz w:val="20"/>
          <w:szCs w:val="20"/>
        </w:rPr>
        <w:t xml:space="preserve">  The service </w:t>
      </w:r>
      <w:r w:rsidR="00E50745" w:rsidRPr="004832EE">
        <w:rPr>
          <w:rFonts w:ascii="Times New Roman" w:hAnsi="Times New Roman" w:cs="Times New Roman"/>
          <w:sz w:val="20"/>
          <w:szCs w:val="20"/>
        </w:rPr>
        <w:t xml:space="preserve">provider undertakes </w:t>
      </w:r>
      <w:r w:rsidR="004832EE" w:rsidRPr="004832EE">
        <w:rPr>
          <w:rFonts w:ascii="Times New Roman" w:hAnsi="Times New Roman" w:cs="Times New Roman"/>
          <w:sz w:val="20"/>
          <w:szCs w:val="20"/>
        </w:rPr>
        <w:t>energy</w:t>
      </w:r>
      <w:r w:rsidR="00DF7F49" w:rsidRPr="004832EE">
        <w:rPr>
          <w:rFonts w:ascii="Times New Roman" w:hAnsi="Times New Roman" w:cs="Times New Roman"/>
          <w:sz w:val="20"/>
          <w:szCs w:val="20"/>
        </w:rPr>
        <w:t xml:space="preserve"> diagnostic to assess energy savings potential. If that potential is attractive, the </w:t>
      </w:r>
      <w:r w:rsidR="00BE298E">
        <w:rPr>
          <w:rFonts w:ascii="Times New Roman" w:hAnsi="Times New Roman" w:cs="Times New Roman"/>
          <w:sz w:val="20"/>
          <w:szCs w:val="20"/>
        </w:rPr>
        <w:t xml:space="preserve">energy </w:t>
      </w:r>
      <w:r w:rsidR="00DF7F49" w:rsidRPr="004832EE">
        <w:rPr>
          <w:rFonts w:ascii="Times New Roman" w:hAnsi="Times New Roman" w:cs="Times New Roman"/>
          <w:sz w:val="20"/>
          <w:szCs w:val="20"/>
        </w:rPr>
        <w:t xml:space="preserve">services provider </w:t>
      </w:r>
      <w:r w:rsidR="00E50745" w:rsidRPr="004832EE">
        <w:rPr>
          <w:rFonts w:ascii="Times New Roman" w:hAnsi="Times New Roman" w:cs="Times New Roman"/>
          <w:sz w:val="20"/>
          <w:szCs w:val="20"/>
        </w:rPr>
        <w:t>signs</w:t>
      </w:r>
      <w:r w:rsidRPr="004832EE">
        <w:rPr>
          <w:rFonts w:ascii="Times New Roman" w:hAnsi="Times New Roman" w:cs="Times New Roman"/>
          <w:sz w:val="20"/>
          <w:szCs w:val="20"/>
        </w:rPr>
        <w:t xml:space="preserve"> a contract with the client – </w:t>
      </w:r>
      <w:r w:rsidR="00DF7F49" w:rsidRPr="004832EE">
        <w:rPr>
          <w:rFonts w:ascii="Times New Roman" w:hAnsi="Times New Roman" w:cs="Times New Roman"/>
          <w:sz w:val="20"/>
          <w:szCs w:val="20"/>
        </w:rPr>
        <w:t xml:space="preserve">based on the </w:t>
      </w:r>
      <w:r w:rsidRPr="004832EE">
        <w:rPr>
          <w:rFonts w:ascii="Times New Roman" w:hAnsi="Times New Roman" w:cs="Times New Roman"/>
          <w:sz w:val="20"/>
          <w:szCs w:val="20"/>
        </w:rPr>
        <w:t xml:space="preserve">standard </w:t>
      </w:r>
      <w:r w:rsidR="00DF7F49" w:rsidRPr="004832EE">
        <w:rPr>
          <w:rFonts w:ascii="Times New Roman" w:hAnsi="Times New Roman" w:cs="Times New Roman"/>
          <w:sz w:val="20"/>
          <w:szCs w:val="20"/>
        </w:rPr>
        <w:t xml:space="preserve">contract </w:t>
      </w:r>
      <w:r w:rsidRPr="004832EE">
        <w:rPr>
          <w:rFonts w:ascii="Times New Roman" w:hAnsi="Times New Roman" w:cs="Times New Roman"/>
          <w:sz w:val="20"/>
          <w:szCs w:val="20"/>
        </w:rPr>
        <w:t xml:space="preserve">provided by Bancoldex.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2:</w:t>
      </w:r>
      <w:r w:rsidRPr="004832EE">
        <w:rPr>
          <w:rFonts w:ascii="Times New Roman" w:hAnsi="Times New Roman" w:cs="Times New Roman"/>
          <w:sz w:val="20"/>
          <w:szCs w:val="20"/>
        </w:rPr>
        <w:t xml:space="preserve">  The </w:t>
      </w:r>
      <w:r w:rsidR="00DF7F49" w:rsidRPr="004832EE">
        <w:rPr>
          <w:rFonts w:ascii="Times New Roman" w:hAnsi="Times New Roman" w:cs="Times New Roman"/>
          <w:sz w:val="20"/>
          <w:szCs w:val="20"/>
        </w:rPr>
        <w:t xml:space="preserve">technical </w:t>
      </w:r>
      <w:r w:rsidRPr="004832EE">
        <w:rPr>
          <w:rFonts w:ascii="Times New Roman" w:hAnsi="Times New Roman" w:cs="Times New Roman"/>
          <w:sz w:val="20"/>
          <w:szCs w:val="20"/>
        </w:rPr>
        <w:t xml:space="preserve">service provider </w:t>
      </w:r>
      <w:r w:rsidR="00DF7F49" w:rsidRPr="004832EE">
        <w:rPr>
          <w:rFonts w:ascii="Times New Roman" w:hAnsi="Times New Roman" w:cs="Times New Roman"/>
          <w:sz w:val="20"/>
          <w:szCs w:val="20"/>
        </w:rPr>
        <w:t xml:space="preserve">prepares a technical and financial project proposal, following </w:t>
      </w:r>
      <w:r w:rsidR="004832EE" w:rsidRPr="004832EE">
        <w:rPr>
          <w:rFonts w:ascii="Times New Roman" w:hAnsi="Times New Roman" w:cs="Times New Roman"/>
          <w:sz w:val="20"/>
          <w:szCs w:val="20"/>
        </w:rPr>
        <w:t>a standard</w:t>
      </w:r>
      <w:r w:rsidRPr="004832EE">
        <w:rPr>
          <w:rFonts w:ascii="Times New Roman" w:hAnsi="Times New Roman" w:cs="Times New Roman"/>
          <w:sz w:val="20"/>
          <w:szCs w:val="20"/>
        </w:rPr>
        <w:t xml:space="preserve"> template provided by Bancoldex</w:t>
      </w:r>
      <w:r w:rsidR="00DF7F49" w:rsidRPr="004832EE">
        <w:rPr>
          <w:rFonts w:ascii="Times New Roman" w:hAnsi="Times New Roman" w:cs="Times New Roman"/>
          <w:sz w:val="20"/>
          <w:szCs w:val="20"/>
        </w:rPr>
        <w:t xml:space="preserve">. The proposal will contain </w:t>
      </w:r>
      <w:r w:rsidRPr="004832EE">
        <w:rPr>
          <w:rFonts w:ascii="Times New Roman" w:hAnsi="Times New Roman" w:cs="Times New Roman"/>
          <w:sz w:val="20"/>
          <w:szCs w:val="20"/>
        </w:rPr>
        <w:t xml:space="preserve">the potential energy savings and GHG emission reductions </w:t>
      </w:r>
      <w:r w:rsidR="00DF7F49" w:rsidRPr="004832EE">
        <w:rPr>
          <w:rFonts w:ascii="Times New Roman" w:hAnsi="Times New Roman" w:cs="Times New Roman"/>
          <w:sz w:val="20"/>
          <w:szCs w:val="20"/>
        </w:rPr>
        <w:t xml:space="preserve">expected from </w:t>
      </w:r>
      <w:r w:rsidRPr="004832EE">
        <w:rPr>
          <w:rFonts w:ascii="Times New Roman" w:hAnsi="Times New Roman" w:cs="Times New Roman"/>
          <w:sz w:val="20"/>
          <w:szCs w:val="20"/>
        </w:rPr>
        <w:t xml:space="preserve">the project.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3:</w:t>
      </w:r>
      <w:r w:rsidRPr="004832EE">
        <w:rPr>
          <w:rFonts w:ascii="Times New Roman" w:hAnsi="Times New Roman" w:cs="Times New Roman"/>
          <w:sz w:val="20"/>
          <w:szCs w:val="20"/>
        </w:rPr>
        <w:t xml:space="preserve">  </w:t>
      </w:r>
      <w:r w:rsidR="00DF7F49" w:rsidRPr="004832EE">
        <w:rPr>
          <w:rFonts w:ascii="Times New Roman" w:hAnsi="Times New Roman" w:cs="Times New Roman"/>
          <w:sz w:val="20"/>
          <w:szCs w:val="20"/>
        </w:rPr>
        <w:t>Based on the technical and financial project proposal, t</w:t>
      </w:r>
      <w:r w:rsidRPr="004832EE">
        <w:rPr>
          <w:rFonts w:ascii="Times New Roman" w:hAnsi="Times New Roman" w:cs="Times New Roman"/>
          <w:sz w:val="20"/>
          <w:szCs w:val="20"/>
        </w:rPr>
        <w:t xml:space="preserve">he </w:t>
      </w:r>
      <w:r w:rsidR="00DF7F49" w:rsidRPr="004832EE">
        <w:rPr>
          <w:rFonts w:ascii="Times New Roman" w:hAnsi="Times New Roman" w:cs="Times New Roman"/>
          <w:sz w:val="20"/>
          <w:szCs w:val="20"/>
        </w:rPr>
        <w:t xml:space="preserve">beneficiary firm or the technical services provider on its behalf </w:t>
      </w:r>
      <w:r w:rsidRPr="004832EE">
        <w:rPr>
          <w:rFonts w:ascii="Times New Roman" w:hAnsi="Times New Roman" w:cs="Times New Roman"/>
          <w:sz w:val="20"/>
          <w:szCs w:val="20"/>
        </w:rPr>
        <w:t>make</w:t>
      </w:r>
      <w:r w:rsidR="00DF7F49" w:rsidRPr="004832EE">
        <w:rPr>
          <w:rFonts w:ascii="Times New Roman" w:hAnsi="Times New Roman" w:cs="Times New Roman"/>
          <w:sz w:val="20"/>
          <w:szCs w:val="20"/>
        </w:rPr>
        <w:t>s a credit/lease application in a LFI.</w:t>
      </w:r>
      <w:r w:rsidRPr="004832EE">
        <w:rPr>
          <w:rFonts w:ascii="Times New Roman" w:hAnsi="Times New Roman" w:cs="Times New Roman"/>
          <w:sz w:val="20"/>
          <w:szCs w:val="20"/>
        </w:rPr>
        <w:t xml:space="preserve">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4:</w:t>
      </w:r>
      <w:r w:rsidRPr="004832EE">
        <w:rPr>
          <w:rFonts w:ascii="Times New Roman" w:hAnsi="Times New Roman" w:cs="Times New Roman"/>
          <w:sz w:val="20"/>
          <w:szCs w:val="20"/>
        </w:rPr>
        <w:t xml:space="preserve">  After </w:t>
      </w:r>
      <w:r w:rsidR="00020A26" w:rsidRPr="004832EE">
        <w:rPr>
          <w:rFonts w:ascii="Times New Roman" w:hAnsi="Times New Roman" w:cs="Times New Roman"/>
          <w:sz w:val="20"/>
          <w:szCs w:val="20"/>
        </w:rPr>
        <w:t xml:space="preserve">assessing and accepting to take the firm’s risk and the </w:t>
      </w:r>
      <w:r w:rsidR="004832EE" w:rsidRPr="004832EE">
        <w:rPr>
          <w:rFonts w:ascii="Times New Roman" w:hAnsi="Times New Roman" w:cs="Times New Roman"/>
          <w:sz w:val="20"/>
          <w:szCs w:val="20"/>
        </w:rPr>
        <w:t>project’s financial</w:t>
      </w:r>
      <w:r w:rsidR="00020A26" w:rsidRPr="004832EE">
        <w:rPr>
          <w:rFonts w:ascii="Times New Roman" w:hAnsi="Times New Roman" w:cs="Times New Roman"/>
          <w:sz w:val="20"/>
          <w:szCs w:val="20"/>
        </w:rPr>
        <w:t xml:space="preserve"> risk, </w:t>
      </w:r>
      <w:r w:rsidRPr="004832EE">
        <w:rPr>
          <w:rFonts w:ascii="Times New Roman" w:hAnsi="Times New Roman" w:cs="Times New Roman"/>
          <w:sz w:val="20"/>
          <w:szCs w:val="20"/>
        </w:rPr>
        <w:t xml:space="preserve">the </w:t>
      </w:r>
      <w:r w:rsidR="00020A26" w:rsidRPr="004832EE">
        <w:rPr>
          <w:rFonts w:ascii="Times New Roman" w:hAnsi="Times New Roman" w:cs="Times New Roman"/>
          <w:sz w:val="20"/>
          <w:szCs w:val="20"/>
        </w:rPr>
        <w:t>LFI</w:t>
      </w:r>
      <w:r w:rsidRPr="004832EE">
        <w:rPr>
          <w:rFonts w:ascii="Times New Roman" w:hAnsi="Times New Roman" w:cs="Times New Roman"/>
          <w:sz w:val="20"/>
          <w:szCs w:val="20"/>
        </w:rPr>
        <w:t xml:space="preserve"> request</w:t>
      </w:r>
      <w:r w:rsidR="00947C3E" w:rsidRPr="004832EE">
        <w:rPr>
          <w:rFonts w:ascii="Times New Roman" w:hAnsi="Times New Roman" w:cs="Times New Roman"/>
          <w:sz w:val="20"/>
          <w:szCs w:val="20"/>
        </w:rPr>
        <w:t>s</w:t>
      </w:r>
      <w:r w:rsidRPr="004832EE">
        <w:rPr>
          <w:rFonts w:ascii="Times New Roman" w:hAnsi="Times New Roman" w:cs="Times New Roman"/>
          <w:sz w:val="20"/>
          <w:szCs w:val="20"/>
        </w:rPr>
        <w:t xml:space="preserve"> Bancoldex to </w:t>
      </w:r>
      <w:r w:rsidR="00020A26" w:rsidRPr="004832EE">
        <w:rPr>
          <w:rFonts w:ascii="Times New Roman" w:hAnsi="Times New Roman" w:cs="Times New Roman"/>
          <w:sz w:val="20"/>
          <w:szCs w:val="20"/>
        </w:rPr>
        <w:t xml:space="preserve">assess, through an independent third party, the proposal’s technical risk and the </w:t>
      </w:r>
      <w:r w:rsidRPr="004832EE">
        <w:rPr>
          <w:rFonts w:ascii="Times New Roman" w:hAnsi="Times New Roman" w:cs="Times New Roman"/>
          <w:sz w:val="20"/>
          <w:szCs w:val="20"/>
        </w:rPr>
        <w:t xml:space="preserve">technical </w:t>
      </w:r>
      <w:r w:rsidR="00020A26" w:rsidRPr="004832EE">
        <w:rPr>
          <w:rFonts w:ascii="Times New Roman" w:hAnsi="Times New Roman" w:cs="Times New Roman"/>
          <w:sz w:val="20"/>
          <w:szCs w:val="20"/>
        </w:rPr>
        <w:t xml:space="preserve">expertise of the technical services provider. </w:t>
      </w:r>
      <w:r w:rsidRPr="004832EE">
        <w:rPr>
          <w:rFonts w:ascii="Times New Roman" w:hAnsi="Times New Roman" w:cs="Times New Roman"/>
          <w:sz w:val="20"/>
          <w:szCs w:val="20"/>
        </w:rPr>
        <w:t xml:space="preserve"> </w:t>
      </w:r>
    </w:p>
    <w:p w:rsidR="00DB260B" w:rsidRPr="004832EE" w:rsidRDefault="00E50745"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 xml:space="preserve">Step 5: </w:t>
      </w:r>
      <w:r w:rsidR="00DB260B" w:rsidRPr="004832EE">
        <w:rPr>
          <w:rFonts w:ascii="Times New Roman" w:hAnsi="Times New Roman" w:cs="Times New Roman"/>
          <w:sz w:val="20"/>
          <w:szCs w:val="20"/>
        </w:rPr>
        <w:t xml:space="preserve"> Bancoldex </w:t>
      </w:r>
      <w:r w:rsidR="00020A26" w:rsidRPr="004832EE">
        <w:rPr>
          <w:rFonts w:ascii="Times New Roman" w:hAnsi="Times New Roman" w:cs="Times New Roman"/>
          <w:sz w:val="20"/>
          <w:szCs w:val="20"/>
        </w:rPr>
        <w:t xml:space="preserve">remits </w:t>
      </w:r>
      <w:r w:rsidR="00DB260B" w:rsidRPr="004832EE">
        <w:rPr>
          <w:rFonts w:ascii="Times New Roman" w:hAnsi="Times New Roman" w:cs="Times New Roman"/>
          <w:sz w:val="20"/>
          <w:szCs w:val="20"/>
        </w:rPr>
        <w:t xml:space="preserve">the project proposal to a qualified external validator contracted by </w:t>
      </w:r>
      <w:r w:rsidR="00020A26" w:rsidRPr="004832EE">
        <w:rPr>
          <w:rFonts w:ascii="Times New Roman" w:hAnsi="Times New Roman" w:cs="Times New Roman"/>
          <w:sz w:val="20"/>
          <w:szCs w:val="20"/>
        </w:rPr>
        <w:t>it</w:t>
      </w:r>
      <w:r w:rsidR="00DB260B" w:rsidRPr="004832EE">
        <w:rPr>
          <w:rFonts w:ascii="Times New Roman" w:hAnsi="Times New Roman" w:cs="Times New Roman"/>
          <w:sz w:val="20"/>
          <w:szCs w:val="20"/>
        </w:rPr>
        <w:t xml:space="preserve"> to review the technical quality of the project</w:t>
      </w:r>
      <w:r w:rsidR="00020A26" w:rsidRPr="004832EE">
        <w:rPr>
          <w:rFonts w:ascii="Times New Roman" w:hAnsi="Times New Roman" w:cs="Times New Roman"/>
          <w:sz w:val="20"/>
          <w:szCs w:val="20"/>
        </w:rPr>
        <w:t xml:space="preserve"> proposal and the technical expertise of the technical service provider that prepare it</w:t>
      </w:r>
      <w:r w:rsidR="00DB260B" w:rsidRPr="004832EE">
        <w:rPr>
          <w:rFonts w:ascii="Times New Roman" w:hAnsi="Times New Roman" w:cs="Times New Roman"/>
          <w:sz w:val="20"/>
          <w:szCs w:val="20"/>
        </w:rPr>
        <w:t xml:space="preserve">.  Based on a previously </w:t>
      </w:r>
      <w:r w:rsidR="00020A26" w:rsidRPr="004832EE">
        <w:rPr>
          <w:rFonts w:ascii="Times New Roman" w:hAnsi="Times New Roman" w:cs="Times New Roman"/>
          <w:sz w:val="20"/>
          <w:szCs w:val="20"/>
        </w:rPr>
        <w:t xml:space="preserve">defined </w:t>
      </w:r>
      <w:r w:rsidR="00DB260B" w:rsidRPr="004832EE">
        <w:rPr>
          <w:rFonts w:ascii="Times New Roman" w:hAnsi="Times New Roman" w:cs="Times New Roman"/>
          <w:sz w:val="20"/>
          <w:szCs w:val="20"/>
        </w:rPr>
        <w:t xml:space="preserve">methodology developed </w:t>
      </w:r>
      <w:r w:rsidR="00020A26" w:rsidRPr="004832EE">
        <w:rPr>
          <w:rFonts w:ascii="Times New Roman" w:hAnsi="Times New Roman" w:cs="Times New Roman"/>
          <w:sz w:val="20"/>
          <w:szCs w:val="20"/>
        </w:rPr>
        <w:t xml:space="preserve">for program, </w:t>
      </w:r>
      <w:r w:rsidR="00DB260B" w:rsidRPr="004832EE">
        <w:rPr>
          <w:rFonts w:ascii="Times New Roman" w:hAnsi="Times New Roman" w:cs="Times New Roman"/>
          <w:sz w:val="20"/>
          <w:szCs w:val="20"/>
        </w:rPr>
        <w:t xml:space="preserve"> the validator </w:t>
      </w:r>
      <w:r w:rsidR="00020A26" w:rsidRPr="004832EE">
        <w:rPr>
          <w:rFonts w:ascii="Times New Roman" w:hAnsi="Times New Roman" w:cs="Times New Roman"/>
          <w:sz w:val="20"/>
          <w:szCs w:val="20"/>
        </w:rPr>
        <w:t xml:space="preserve">makes a technical assessment if the </w:t>
      </w:r>
      <w:r w:rsidR="00DB260B" w:rsidRPr="004832EE">
        <w:rPr>
          <w:rFonts w:ascii="Times New Roman" w:hAnsi="Times New Roman" w:cs="Times New Roman"/>
          <w:sz w:val="20"/>
          <w:szCs w:val="20"/>
        </w:rPr>
        <w:t xml:space="preserve"> </w:t>
      </w:r>
      <w:r w:rsidR="00020A26" w:rsidRPr="004832EE">
        <w:rPr>
          <w:rFonts w:ascii="Times New Roman" w:hAnsi="Times New Roman" w:cs="Times New Roman"/>
          <w:sz w:val="20"/>
          <w:szCs w:val="20"/>
        </w:rPr>
        <w:t xml:space="preserve">proposed </w:t>
      </w:r>
      <w:r w:rsidR="00DB260B" w:rsidRPr="004832EE">
        <w:rPr>
          <w:rFonts w:ascii="Times New Roman" w:hAnsi="Times New Roman" w:cs="Times New Roman"/>
          <w:sz w:val="20"/>
          <w:szCs w:val="20"/>
        </w:rPr>
        <w:t xml:space="preserve">measures and technologies are appropriate and </w:t>
      </w:r>
      <w:r w:rsidR="00020A26" w:rsidRPr="004832EE">
        <w:rPr>
          <w:rFonts w:ascii="Times New Roman" w:hAnsi="Times New Roman" w:cs="Times New Roman"/>
          <w:sz w:val="20"/>
          <w:szCs w:val="20"/>
        </w:rPr>
        <w:t xml:space="preserve">can generate the savings estimated by the technical services provider in his/her proposal. </w:t>
      </w:r>
      <w:r w:rsidR="00DB260B" w:rsidRPr="004832EE">
        <w:rPr>
          <w:rFonts w:ascii="Times New Roman" w:hAnsi="Times New Roman" w:cs="Times New Roman"/>
          <w:sz w:val="20"/>
          <w:szCs w:val="20"/>
        </w:rPr>
        <w:t xml:space="preserve">The validator will also </w:t>
      </w:r>
      <w:r w:rsidR="00020A26" w:rsidRPr="004832EE">
        <w:rPr>
          <w:rFonts w:ascii="Times New Roman" w:hAnsi="Times New Roman" w:cs="Times New Roman"/>
          <w:sz w:val="20"/>
          <w:szCs w:val="20"/>
        </w:rPr>
        <w:t>assess</w:t>
      </w:r>
      <w:r w:rsidR="00DB260B" w:rsidRPr="004832EE">
        <w:rPr>
          <w:rFonts w:ascii="Times New Roman" w:hAnsi="Times New Roman" w:cs="Times New Roman"/>
          <w:sz w:val="20"/>
          <w:szCs w:val="20"/>
        </w:rPr>
        <w:t xml:space="preserve"> whether the </w:t>
      </w:r>
      <w:r w:rsidR="00020A26" w:rsidRPr="004832EE">
        <w:rPr>
          <w:rFonts w:ascii="Times New Roman" w:hAnsi="Times New Roman" w:cs="Times New Roman"/>
          <w:sz w:val="20"/>
          <w:szCs w:val="20"/>
        </w:rPr>
        <w:t xml:space="preserve">technical </w:t>
      </w:r>
      <w:r w:rsidR="00DB260B" w:rsidRPr="004832EE">
        <w:rPr>
          <w:rFonts w:ascii="Times New Roman" w:hAnsi="Times New Roman" w:cs="Times New Roman"/>
          <w:sz w:val="20"/>
          <w:szCs w:val="20"/>
        </w:rPr>
        <w:t>service</w:t>
      </w:r>
      <w:r w:rsidR="00020A26" w:rsidRPr="004832EE">
        <w:rPr>
          <w:rFonts w:ascii="Times New Roman" w:hAnsi="Times New Roman" w:cs="Times New Roman"/>
          <w:sz w:val="20"/>
          <w:szCs w:val="20"/>
        </w:rPr>
        <w:t>s</w:t>
      </w:r>
      <w:r w:rsidR="00DB260B" w:rsidRPr="004832EE">
        <w:rPr>
          <w:rFonts w:ascii="Times New Roman" w:hAnsi="Times New Roman" w:cs="Times New Roman"/>
          <w:sz w:val="20"/>
          <w:szCs w:val="20"/>
        </w:rPr>
        <w:t xml:space="preserve"> provider has </w:t>
      </w:r>
      <w:r w:rsidR="00020A26" w:rsidRPr="004832EE">
        <w:rPr>
          <w:rFonts w:ascii="Times New Roman" w:hAnsi="Times New Roman" w:cs="Times New Roman"/>
          <w:sz w:val="20"/>
          <w:szCs w:val="20"/>
        </w:rPr>
        <w:t xml:space="preserve">the necessary technical </w:t>
      </w:r>
      <w:r w:rsidR="00DB260B" w:rsidRPr="004832EE">
        <w:rPr>
          <w:rFonts w:ascii="Times New Roman" w:hAnsi="Times New Roman" w:cs="Times New Roman"/>
          <w:sz w:val="20"/>
          <w:szCs w:val="20"/>
        </w:rPr>
        <w:t>competenc</w:t>
      </w:r>
      <w:r w:rsidR="00020A26" w:rsidRPr="004832EE">
        <w:rPr>
          <w:rFonts w:ascii="Times New Roman" w:hAnsi="Times New Roman" w:cs="Times New Roman"/>
          <w:sz w:val="20"/>
          <w:szCs w:val="20"/>
        </w:rPr>
        <w:t>ies</w:t>
      </w:r>
      <w:r w:rsidR="00DB260B" w:rsidRPr="004832EE">
        <w:rPr>
          <w:rFonts w:ascii="Times New Roman" w:hAnsi="Times New Roman" w:cs="Times New Roman"/>
          <w:sz w:val="20"/>
          <w:szCs w:val="20"/>
        </w:rPr>
        <w:t xml:space="preserve"> </w:t>
      </w:r>
      <w:r w:rsidR="00020A26" w:rsidRPr="004832EE">
        <w:rPr>
          <w:rFonts w:ascii="Times New Roman" w:hAnsi="Times New Roman" w:cs="Times New Roman"/>
          <w:sz w:val="20"/>
          <w:szCs w:val="20"/>
        </w:rPr>
        <w:t xml:space="preserve">to support the detailed design of the program and </w:t>
      </w:r>
      <w:r w:rsidR="00386D02" w:rsidRPr="004832EE">
        <w:rPr>
          <w:rFonts w:ascii="Times New Roman" w:hAnsi="Times New Roman" w:cs="Times New Roman"/>
          <w:sz w:val="20"/>
          <w:szCs w:val="20"/>
        </w:rPr>
        <w:t xml:space="preserve">its subsequent implementation. </w:t>
      </w:r>
      <w:r w:rsidR="00DB260B" w:rsidRPr="004832EE">
        <w:rPr>
          <w:rFonts w:ascii="Times New Roman" w:hAnsi="Times New Roman" w:cs="Times New Roman"/>
          <w:sz w:val="20"/>
          <w:szCs w:val="20"/>
        </w:rPr>
        <w:t xml:space="preserve">  </w:t>
      </w:r>
    </w:p>
    <w:p w:rsidR="00DB260B" w:rsidRPr="004832EE" w:rsidRDefault="00E50745"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6:</w:t>
      </w:r>
      <w:r w:rsidR="00DB260B" w:rsidRPr="004832EE">
        <w:rPr>
          <w:rFonts w:ascii="Times New Roman" w:hAnsi="Times New Roman" w:cs="Times New Roman"/>
          <w:sz w:val="20"/>
          <w:szCs w:val="20"/>
        </w:rPr>
        <w:t xml:space="preserve">  The validator provides its assessment of the project</w:t>
      </w:r>
      <w:r w:rsidR="00386D02" w:rsidRPr="004832EE">
        <w:rPr>
          <w:rFonts w:ascii="Times New Roman" w:hAnsi="Times New Roman" w:cs="Times New Roman"/>
          <w:sz w:val="20"/>
          <w:szCs w:val="20"/>
        </w:rPr>
        <w:t xml:space="preserve"> proposal of the technical services provider to Bancoldex, </w:t>
      </w:r>
      <w:r w:rsidR="00DB260B" w:rsidRPr="004832EE">
        <w:rPr>
          <w:rFonts w:ascii="Times New Roman" w:hAnsi="Times New Roman" w:cs="Times New Roman"/>
          <w:sz w:val="20"/>
          <w:szCs w:val="20"/>
        </w:rPr>
        <w:t xml:space="preserve">and if the assessment is positive </w:t>
      </w:r>
      <w:r w:rsidR="00386D02" w:rsidRPr="004832EE">
        <w:rPr>
          <w:rFonts w:ascii="Times New Roman" w:hAnsi="Times New Roman" w:cs="Times New Roman"/>
          <w:sz w:val="20"/>
          <w:szCs w:val="20"/>
        </w:rPr>
        <w:t xml:space="preserve">Bancoldex approves the funding for the project to the LFI. </w:t>
      </w:r>
      <w:r w:rsidR="00DB260B" w:rsidRPr="004832EE">
        <w:rPr>
          <w:rFonts w:ascii="Times New Roman" w:hAnsi="Times New Roman" w:cs="Times New Roman"/>
          <w:sz w:val="20"/>
          <w:szCs w:val="20"/>
        </w:rPr>
        <w:t xml:space="preserve">  </w:t>
      </w:r>
    </w:p>
    <w:p w:rsidR="00DB260B" w:rsidRPr="004832EE" w:rsidRDefault="00E50745"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7:</w:t>
      </w:r>
      <w:r w:rsidR="00DB260B" w:rsidRPr="004832EE">
        <w:rPr>
          <w:rFonts w:ascii="Times New Roman" w:hAnsi="Times New Roman" w:cs="Times New Roman"/>
          <w:sz w:val="20"/>
          <w:szCs w:val="20"/>
        </w:rPr>
        <w:t xml:space="preserve">  Based on the validation of the project </w:t>
      </w:r>
      <w:r w:rsidR="00386D02" w:rsidRPr="004832EE">
        <w:rPr>
          <w:rFonts w:ascii="Times New Roman" w:hAnsi="Times New Roman" w:cs="Times New Roman"/>
          <w:sz w:val="20"/>
          <w:szCs w:val="20"/>
        </w:rPr>
        <w:t xml:space="preserve">proposal and of the technical </w:t>
      </w:r>
      <w:r w:rsidR="00DB260B" w:rsidRPr="004832EE">
        <w:rPr>
          <w:rFonts w:ascii="Times New Roman" w:hAnsi="Times New Roman" w:cs="Times New Roman"/>
          <w:sz w:val="20"/>
          <w:szCs w:val="20"/>
        </w:rPr>
        <w:t>service</w:t>
      </w:r>
      <w:r w:rsidR="00386D02" w:rsidRPr="004832EE">
        <w:rPr>
          <w:rFonts w:ascii="Times New Roman" w:hAnsi="Times New Roman" w:cs="Times New Roman"/>
          <w:sz w:val="20"/>
          <w:szCs w:val="20"/>
        </w:rPr>
        <w:t>s</w:t>
      </w:r>
      <w:r w:rsidR="00DB260B" w:rsidRPr="004832EE">
        <w:rPr>
          <w:rFonts w:ascii="Times New Roman" w:hAnsi="Times New Roman" w:cs="Times New Roman"/>
          <w:sz w:val="20"/>
          <w:szCs w:val="20"/>
        </w:rPr>
        <w:t xml:space="preserve"> provider Bancoldex disburses the resources to the </w:t>
      </w:r>
      <w:r w:rsidR="00386D02" w:rsidRPr="004832EE">
        <w:rPr>
          <w:rFonts w:ascii="Times New Roman" w:hAnsi="Times New Roman" w:cs="Times New Roman"/>
          <w:sz w:val="20"/>
          <w:szCs w:val="20"/>
        </w:rPr>
        <w:t>LFI</w:t>
      </w:r>
      <w:r w:rsidR="00DB260B" w:rsidRPr="004832EE">
        <w:rPr>
          <w:rFonts w:ascii="Times New Roman" w:hAnsi="Times New Roman" w:cs="Times New Roman"/>
          <w:sz w:val="20"/>
          <w:szCs w:val="20"/>
        </w:rPr>
        <w:t xml:space="preserve">.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 xml:space="preserve">Step </w:t>
      </w:r>
      <w:r w:rsidR="00E50745" w:rsidRPr="004832EE">
        <w:rPr>
          <w:rFonts w:ascii="Times New Roman" w:hAnsi="Times New Roman" w:cs="Times New Roman"/>
          <w:i/>
          <w:sz w:val="20"/>
          <w:szCs w:val="20"/>
        </w:rPr>
        <w:t xml:space="preserve">8: </w:t>
      </w:r>
      <w:r w:rsidRPr="004832EE">
        <w:rPr>
          <w:rFonts w:ascii="Times New Roman" w:hAnsi="Times New Roman" w:cs="Times New Roman"/>
          <w:sz w:val="20"/>
          <w:szCs w:val="20"/>
        </w:rPr>
        <w:t xml:space="preserve"> The commercial bank disburses the credit to the client. </w:t>
      </w:r>
      <w:r w:rsidR="00F127CD">
        <w:rPr>
          <w:rFonts w:ascii="Times New Roman" w:hAnsi="Times New Roman" w:cs="Times New Roman"/>
          <w:sz w:val="20"/>
          <w:szCs w:val="20"/>
        </w:rPr>
        <w:t xml:space="preserve">6 months after disbursement the Third party validator / verifier will spot check </w:t>
      </w:r>
      <w:r w:rsidR="00F127CD">
        <w:rPr>
          <w:rFonts w:ascii="Times New Roman" w:hAnsi="Times New Roman" w:cs="Times New Roman"/>
          <w:sz w:val="20"/>
          <w:szCs w:val="20"/>
        </w:rPr>
        <w:lastRenderedPageBreak/>
        <w:t xml:space="preserve">whether equipment has been installed, the monitoring plan and measures are correctly being put in place and the old equipment has been decommissioned.  Failure by the client to address any of these issues would result in the obligation to return the credit to the LFI/ Bancoldex.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9</w:t>
      </w:r>
      <w:r w:rsidR="00E50745" w:rsidRPr="004832EE">
        <w:rPr>
          <w:rFonts w:ascii="Times New Roman" w:hAnsi="Times New Roman" w:cs="Times New Roman"/>
          <w:i/>
          <w:sz w:val="20"/>
          <w:szCs w:val="20"/>
        </w:rPr>
        <w:t>:</w:t>
      </w:r>
      <w:r w:rsidRPr="004832EE">
        <w:rPr>
          <w:rFonts w:ascii="Times New Roman" w:hAnsi="Times New Roman" w:cs="Times New Roman"/>
          <w:sz w:val="20"/>
          <w:szCs w:val="20"/>
        </w:rPr>
        <w:t xml:space="preserve">  The </w:t>
      </w:r>
      <w:r w:rsidR="00386D02" w:rsidRPr="004832EE">
        <w:rPr>
          <w:rFonts w:ascii="Times New Roman" w:hAnsi="Times New Roman" w:cs="Times New Roman"/>
          <w:sz w:val="20"/>
          <w:szCs w:val="20"/>
        </w:rPr>
        <w:t xml:space="preserve">technical services </w:t>
      </w:r>
      <w:r w:rsidRPr="004832EE">
        <w:rPr>
          <w:rFonts w:ascii="Times New Roman" w:hAnsi="Times New Roman" w:cs="Times New Roman"/>
          <w:sz w:val="20"/>
          <w:szCs w:val="20"/>
        </w:rPr>
        <w:t>provider develops and send</w:t>
      </w:r>
      <w:r w:rsidR="00386D02" w:rsidRPr="004832EE">
        <w:rPr>
          <w:rFonts w:ascii="Times New Roman" w:hAnsi="Times New Roman" w:cs="Times New Roman"/>
          <w:sz w:val="20"/>
          <w:szCs w:val="20"/>
        </w:rPr>
        <w:t>s</w:t>
      </w:r>
      <w:r w:rsidRPr="004832EE">
        <w:rPr>
          <w:rFonts w:ascii="Times New Roman" w:hAnsi="Times New Roman" w:cs="Times New Roman"/>
          <w:sz w:val="20"/>
          <w:szCs w:val="20"/>
        </w:rPr>
        <w:t xml:space="preserve"> to the external validator contracted by Bancoldex the detailed design of the project operations and maintenance and prepares a monitoring plan </w:t>
      </w:r>
      <w:r w:rsidR="00386D02" w:rsidRPr="004832EE">
        <w:rPr>
          <w:rFonts w:ascii="Times New Roman" w:hAnsi="Times New Roman" w:cs="Times New Roman"/>
          <w:sz w:val="20"/>
          <w:szCs w:val="20"/>
        </w:rPr>
        <w:t xml:space="preserve">that will include </w:t>
      </w:r>
      <w:r w:rsidRPr="004832EE">
        <w:rPr>
          <w:rFonts w:ascii="Times New Roman" w:hAnsi="Times New Roman" w:cs="Times New Roman"/>
          <w:sz w:val="20"/>
          <w:szCs w:val="20"/>
        </w:rPr>
        <w:t xml:space="preserve">how the energy savings and GHG emissions reductions will be estimated, monitored and reported. </w:t>
      </w:r>
      <w:r w:rsidR="00060560" w:rsidRPr="004832EE">
        <w:rPr>
          <w:rFonts w:ascii="Times New Roman" w:hAnsi="Times New Roman" w:cs="Times New Roman"/>
          <w:sz w:val="20"/>
          <w:szCs w:val="20"/>
        </w:rPr>
        <w:t xml:space="preserve">At this point the technical services provider gets a partial payment from the beneficiary firm for the detailed design of the project. The remaining payments would be based on the project performance during the execution phase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10</w:t>
      </w:r>
      <w:r w:rsidR="00E50745" w:rsidRPr="004832EE">
        <w:rPr>
          <w:rFonts w:ascii="Times New Roman" w:hAnsi="Times New Roman" w:cs="Times New Roman"/>
          <w:sz w:val="20"/>
          <w:szCs w:val="20"/>
        </w:rPr>
        <w:t>:</w:t>
      </w:r>
      <w:r w:rsidRPr="004832EE">
        <w:rPr>
          <w:rFonts w:ascii="Times New Roman" w:hAnsi="Times New Roman" w:cs="Times New Roman"/>
          <w:sz w:val="20"/>
          <w:szCs w:val="20"/>
        </w:rPr>
        <w:t xml:space="preserve">  The validator review</w:t>
      </w:r>
      <w:r w:rsidR="00386D02" w:rsidRPr="004832EE">
        <w:rPr>
          <w:rFonts w:ascii="Times New Roman" w:hAnsi="Times New Roman" w:cs="Times New Roman"/>
          <w:sz w:val="20"/>
          <w:szCs w:val="20"/>
        </w:rPr>
        <w:t>s</w:t>
      </w:r>
      <w:r w:rsidRPr="004832EE">
        <w:rPr>
          <w:rFonts w:ascii="Times New Roman" w:hAnsi="Times New Roman" w:cs="Times New Roman"/>
          <w:sz w:val="20"/>
          <w:szCs w:val="20"/>
        </w:rPr>
        <w:t xml:space="preserve"> the monitoring plan and validates it.   </w:t>
      </w:r>
    </w:p>
    <w:p w:rsidR="00DB260B" w:rsidRPr="004832EE" w:rsidRDefault="00E50745"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11</w:t>
      </w:r>
      <w:r w:rsidRPr="004832EE">
        <w:rPr>
          <w:rFonts w:ascii="Times New Roman" w:hAnsi="Times New Roman" w:cs="Times New Roman"/>
          <w:sz w:val="20"/>
          <w:szCs w:val="20"/>
        </w:rPr>
        <w:t xml:space="preserve">: </w:t>
      </w:r>
      <w:r w:rsidR="00DB260B" w:rsidRPr="004832EE">
        <w:rPr>
          <w:rFonts w:ascii="Times New Roman" w:hAnsi="Times New Roman" w:cs="Times New Roman"/>
          <w:sz w:val="20"/>
          <w:szCs w:val="20"/>
        </w:rPr>
        <w:t xml:space="preserve">The </w:t>
      </w:r>
      <w:r w:rsidR="00386D02" w:rsidRPr="004832EE">
        <w:rPr>
          <w:rFonts w:ascii="Times New Roman" w:hAnsi="Times New Roman" w:cs="Times New Roman"/>
          <w:sz w:val="20"/>
          <w:szCs w:val="20"/>
        </w:rPr>
        <w:t>technical</w:t>
      </w:r>
      <w:r w:rsidR="00DB260B" w:rsidRPr="004832EE">
        <w:rPr>
          <w:rFonts w:ascii="Times New Roman" w:hAnsi="Times New Roman" w:cs="Times New Roman"/>
          <w:sz w:val="20"/>
          <w:szCs w:val="20"/>
        </w:rPr>
        <w:t xml:space="preserve"> service</w:t>
      </w:r>
      <w:r w:rsidR="00386D02" w:rsidRPr="004832EE">
        <w:rPr>
          <w:rFonts w:ascii="Times New Roman" w:hAnsi="Times New Roman" w:cs="Times New Roman"/>
          <w:sz w:val="20"/>
          <w:szCs w:val="20"/>
        </w:rPr>
        <w:t>s</w:t>
      </w:r>
      <w:r w:rsidR="00DB260B" w:rsidRPr="004832EE">
        <w:rPr>
          <w:rFonts w:ascii="Times New Roman" w:hAnsi="Times New Roman" w:cs="Times New Roman"/>
          <w:sz w:val="20"/>
          <w:szCs w:val="20"/>
        </w:rPr>
        <w:t xml:space="preserve"> provider </w:t>
      </w:r>
      <w:r w:rsidR="00386D02" w:rsidRPr="004832EE">
        <w:rPr>
          <w:rFonts w:ascii="Times New Roman" w:hAnsi="Times New Roman" w:cs="Times New Roman"/>
          <w:sz w:val="20"/>
          <w:szCs w:val="20"/>
        </w:rPr>
        <w:t>buys a performance insurance policy from a local insurance company to</w:t>
      </w:r>
      <w:r w:rsidR="00DB260B" w:rsidRPr="004832EE">
        <w:rPr>
          <w:rFonts w:ascii="Times New Roman" w:hAnsi="Times New Roman" w:cs="Times New Roman"/>
          <w:sz w:val="20"/>
          <w:szCs w:val="20"/>
        </w:rPr>
        <w:t xml:space="preserve"> cover </w:t>
      </w:r>
      <w:r w:rsidR="00386D02" w:rsidRPr="004832EE">
        <w:rPr>
          <w:rFonts w:ascii="Times New Roman" w:hAnsi="Times New Roman" w:cs="Times New Roman"/>
          <w:sz w:val="20"/>
          <w:szCs w:val="20"/>
        </w:rPr>
        <w:t xml:space="preserve">the </w:t>
      </w:r>
      <w:r w:rsidR="00DB260B" w:rsidRPr="004832EE">
        <w:rPr>
          <w:rFonts w:ascii="Times New Roman" w:hAnsi="Times New Roman" w:cs="Times New Roman"/>
          <w:sz w:val="20"/>
          <w:szCs w:val="20"/>
        </w:rPr>
        <w:t xml:space="preserve">risks associated </w:t>
      </w:r>
      <w:r w:rsidR="00386D02" w:rsidRPr="004832EE">
        <w:rPr>
          <w:rFonts w:ascii="Times New Roman" w:hAnsi="Times New Roman" w:cs="Times New Roman"/>
          <w:sz w:val="20"/>
          <w:szCs w:val="20"/>
        </w:rPr>
        <w:t xml:space="preserve">with </w:t>
      </w:r>
      <w:r w:rsidR="00DB260B" w:rsidRPr="004832EE">
        <w:rPr>
          <w:rFonts w:ascii="Times New Roman" w:hAnsi="Times New Roman" w:cs="Times New Roman"/>
          <w:sz w:val="20"/>
          <w:szCs w:val="20"/>
        </w:rPr>
        <w:t>the technical performance of the project</w:t>
      </w:r>
      <w:r w:rsidR="00386D02" w:rsidRPr="004832EE">
        <w:rPr>
          <w:rFonts w:ascii="Times New Roman" w:hAnsi="Times New Roman" w:cs="Times New Roman"/>
          <w:sz w:val="20"/>
          <w:szCs w:val="20"/>
        </w:rPr>
        <w:t xml:space="preserve">. The beneficiary is the firm making the investments and assuming the loan. </w:t>
      </w:r>
    </w:p>
    <w:p w:rsidR="00DB260B" w:rsidRPr="004832EE" w:rsidRDefault="00DB260B" w:rsidP="00F127CD">
      <w:pPr>
        <w:spacing w:after="60"/>
        <w:jc w:val="both"/>
        <w:rPr>
          <w:rFonts w:ascii="Times New Roman" w:hAnsi="Times New Roman" w:cs="Times New Roman"/>
          <w:sz w:val="20"/>
          <w:szCs w:val="20"/>
        </w:rPr>
      </w:pPr>
      <w:r w:rsidRPr="004832EE">
        <w:rPr>
          <w:rFonts w:ascii="Times New Roman" w:hAnsi="Times New Roman" w:cs="Times New Roman"/>
          <w:i/>
          <w:sz w:val="20"/>
          <w:szCs w:val="20"/>
        </w:rPr>
        <w:t>Step 12</w:t>
      </w:r>
      <w:r w:rsidR="00E50745" w:rsidRPr="004832EE">
        <w:rPr>
          <w:rFonts w:ascii="Times New Roman" w:hAnsi="Times New Roman" w:cs="Times New Roman"/>
          <w:sz w:val="20"/>
          <w:szCs w:val="20"/>
        </w:rPr>
        <w:t>:</w:t>
      </w:r>
      <w:r w:rsidRPr="004832EE">
        <w:rPr>
          <w:rFonts w:ascii="Times New Roman" w:hAnsi="Times New Roman" w:cs="Times New Roman"/>
          <w:sz w:val="20"/>
          <w:szCs w:val="20"/>
        </w:rPr>
        <w:t xml:space="preserve">  The </w:t>
      </w:r>
      <w:r w:rsidR="00386D02" w:rsidRPr="004832EE">
        <w:rPr>
          <w:rFonts w:ascii="Times New Roman" w:hAnsi="Times New Roman" w:cs="Times New Roman"/>
          <w:sz w:val="20"/>
          <w:szCs w:val="20"/>
        </w:rPr>
        <w:t>beneficiary firm</w:t>
      </w:r>
      <w:r w:rsidRPr="004832EE">
        <w:rPr>
          <w:rFonts w:ascii="Times New Roman" w:hAnsi="Times New Roman" w:cs="Times New Roman"/>
          <w:sz w:val="20"/>
          <w:szCs w:val="20"/>
        </w:rPr>
        <w:t xml:space="preserve"> receives a</w:t>
      </w:r>
      <w:r w:rsidR="00386D02" w:rsidRPr="004832EE">
        <w:rPr>
          <w:rFonts w:ascii="Times New Roman" w:hAnsi="Times New Roman" w:cs="Times New Roman"/>
          <w:sz w:val="20"/>
          <w:szCs w:val="20"/>
        </w:rPr>
        <w:t xml:space="preserve"> performance insurance policy to cover potential technical risks</w:t>
      </w:r>
      <w:r w:rsidRPr="004832EE">
        <w:rPr>
          <w:rFonts w:ascii="Times New Roman" w:hAnsi="Times New Roman" w:cs="Times New Roman"/>
          <w:sz w:val="20"/>
          <w:szCs w:val="20"/>
        </w:rPr>
        <w:t xml:space="preserve">. </w:t>
      </w:r>
    </w:p>
    <w:p w:rsidR="00DB260B" w:rsidRPr="004832EE" w:rsidRDefault="00E50745" w:rsidP="00AF4034">
      <w:pPr>
        <w:jc w:val="both"/>
        <w:rPr>
          <w:rFonts w:ascii="Times New Roman" w:hAnsi="Times New Roman" w:cs="Times New Roman"/>
          <w:sz w:val="24"/>
          <w:szCs w:val="24"/>
        </w:rPr>
        <w:sectPr w:rsidR="00DB260B" w:rsidRPr="004832EE" w:rsidSect="00C65256">
          <w:pgSz w:w="15840" w:h="12240" w:orient="landscape"/>
          <w:pgMar w:top="1440" w:right="1440" w:bottom="1440" w:left="1440" w:header="720" w:footer="720" w:gutter="0"/>
          <w:cols w:num="2" w:space="720"/>
          <w:docGrid w:linePitch="360"/>
        </w:sectPr>
      </w:pPr>
      <w:r w:rsidRPr="004832EE">
        <w:rPr>
          <w:rFonts w:ascii="Times New Roman" w:hAnsi="Times New Roman" w:cs="Times New Roman"/>
          <w:noProof/>
          <w:sz w:val="24"/>
          <w:szCs w:val="24"/>
        </w:rPr>
        <w:drawing>
          <wp:inline distT="0" distB="0" distL="0" distR="0" wp14:anchorId="2C7EE9F0" wp14:editId="1BE166BE">
            <wp:extent cx="3225039" cy="24883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850" cy="2486680"/>
                    </a:xfrm>
                    <a:prstGeom prst="rect">
                      <a:avLst/>
                    </a:prstGeom>
                    <a:noFill/>
                  </pic:spPr>
                </pic:pic>
              </a:graphicData>
            </a:graphic>
          </wp:inline>
        </w:drawing>
      </w:r>
    </w:p>
    <w:p w:rsidR="00270724" w:rsidRPr="004832EE" w:rsidRDefault="00E50745" w:rsidP="00E50745">
      <w:pPr>
        <w:jc w:val="both"/>
        <w:rPr>
          <w:rFonts w:ascii="Times New Roman" w:hAnsi="Times New Roman" w:cs="Times New Roman"/>
          <w:b/>
          <w:i/>
          <w:sz w:val="24"/>
          <w:szCs w:val="24"/>
        </w:rPr>
      </w:pPr>
      <w:r w:rsidRPr="004832EE">
        <w:rPr>
          <w:rFonts w:ascii="Times New Roman" w:hAnsi="Times New Roman" w:cs="Times New Roman"/>
          <w:b/>
          <w:i/>
          <w:sz w:val="24"/>
          <w:szCs w:val="24"/>
        </w:rPr>
        <w:lastRenderedPageBreak/>
        <w:t xml:space="preserve">Phase 2:  Implementation, monitoring and reporting  </w:t>
      </w:r>
    </w:p>
    <w:p w:rsidR="00F601B3" w:rsidRPr="004832EE" w:rsidRDefault="00E50745"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1:</w:t>
      </w:r>
      <w:r w:rsidRPr="004832EE">
        <w:rPr>
          <w:rFonts w:ascii="Times New Roman" w:hAnsi="Times New Roman" w:cs="Times New Roman"/>
          <w:sz w:val="20"/>
          <w:szCs w:val="20"/>
        </w:rPr>
        <w:t xml:space="preserve">  The </w:t>
      </w:r>
      <w:r w:rsidR="00386D02" w:rsidRPr="004832EE">
        <w:rPr>
          <w:rFonts w:ascii="Times New Roman" w:hAnsi="Times New Roman" w:cs="Times New Roman"/>
          <w:sz w:val="20"/>
          <w:szCs w:val="20"/>
        </w:rPr>
        <w:t xml:space="preserve">technical </w:t>
      </w:r>
      <w:r w:rsidRPr="004832EE">
        <w:rPr>
          <w:rFonts w:ascii="Times New Roman" w:hAnsi="Times New Roman" w:cs="Times New Roman"/>
          <w:sz w:val="20"/>
          <w:szCs w:val="20"/>
        </w:rPr>
        <w:t>service</w:t>
      </w:r>
      <w:r w:rsidR="00386D02" w:rsidRPr="004832EE">
        <w:rPr>
          <w:rFonts w:ascii="Times New Roman" w:hAnsi="Times New Roman" w:cs="Times New Roman"/>
          <w:sz w:val="20"/>
          <w:szCs w:val="20"/>
        </w:rPr>
        <w:t>s</w:t>
      </w:r>
      <w:r w:rsidRPr="004832EE">
        <w:rPr>
          <w:rFonts w:ascii="Times New Roman" w:hAnsi="Times New Roman" w:cs="Times New Roman"/>
          <w:sz w:val="20"/>
          <w:szCs w:val="20"/>
        </w:rPr>
        <w:t xml:space="preserve"> provider prepares </w:t>
      </w:r>
      <w:r w:rsidR="00386D02" w:rsidRPr="004832EE">
        <w:rPr>
          <w:rFonts w:ascii="Times New Roman" w:hAnsi="Times New Roman" w:cs="Times New Roman"/>
          <w:sz w:val="20"/>
          <w:szCs w:val="20"/>
        </w:rPr>
        <w:t xml:space="preserve">periodic </w:t>
      </w:r>
      <w:r w:rsidRPr="004832EE">
        <w:rPr>
          <w:rFonts w:ascii="Times New Roman" w:hAnsi="Times New Roman" w:cs="Times New Roman"/>
          <w:sz w:val="20"/>
          <w:szCs w:val="20"/>
        </w:rPr>
        <w:t xml:space="preserve">reports </w:t>
      </w:r>
      <w:r w:rsidR="00060560" w:rsidRPr="004832EE">
        <w:rPr>
          <w:rFonts w:ascii="Times New Roman" w:hAnsi="Times New Roman" w:cs="Times New Roman"/>
          <w:sz w:val="20"/>
          <w:szCs w:val="20"/>
        </w:rPr>
        <w:t xml:space="preserve">on the energy savings achieved by the project </w:t>
      </w:r>
      <w:r w:rsidRPr="004832EE">
        <w:rPr>
          <w:rFonts w:ascii="Times New Roman" w:hAnsi="Times New Roman" w:cs="Times New Roman"/>
          <w:sz w:val="20"/>
          <w:szCs w:val="20"/>
        </w:rPr>
        <w:t xml:space="preserve">that are submitted to </w:t>
      </w:r>
      <w:r w:rsidR="00386D02" w:rsidRPr="004832EE">
        <w:rPr>
          <w:rFonts w:ascii="Times New Roman" w:hAnsi="Times New Roman" w:cs="Times New Roman"/>
          <w:sz w:val="20"/>
          <w:szCs w:val="20"/>
        </w:rPr>
        <w:t>the beneficiary firm</w:t>
      </w:r>
      <w:r w:rsidRPr="004832EE">
        <w:rPr>
          <w:rFonts w:ascii="Times New Roman" w:hAnsi="Times New Roman" w:cs="Times New Roman"/>
          <w:sz w:val="20"/>
          <w:szCs w:val="20"/>
        </w:rPr>
        <w:t xml:space="preserve">. The </w:t>
      </w:r>
      <w:r w:rsidR="00060560" w:rsidRPr="004832EE">
        <w:rPr>
          <w:rFonts w:ascii="Times New Roman" w:hAnsi="Times New Roman" w:cs="Times New Roman"/>
          <w:sz w:val="20"/>
          <w:szCs w:val="20"/>
        </w:rPr>
        <w:t xml:space="preserve">energy </w:t>
      </w:r>
      <w:r w:rsidRPr="004832EE">
        <w:rPr>
          <w:rFonts w:ascii="Times New Roman" w:hAnsi="Times New Roman" w:cs="Times New Roman"/>
          <w:sz w:val="20"/>
          <w:szCs w:val="20"/>
        </w:rPr>
        <w:t xml:space="preserve">savings reports are the basis under which </w:t>
      </w:r>
      <w:r w:rsidR="00060560" w:rsidRPr="004832EE">
        <w:rPr>
          <w:rFonts w:ascii="Times New Roman" w:hAnsi="Times New Roman" w:cs="Times New Roman"/>
          <w:sz w:val="20"/>
          <w:szCs w:val="20"/>
        </w:rPr>
        <w:t xml:space="preserve">technical service providers would get paid by beneficiary firms during the execution phase.  </w:t>
      </w:r>
      <w:r w:rsidR="00F601B3" w:rsidRPr="004832EE">
        <w:rPr>
          <w:rFonts w:ascii="Times New Roman" w:hAnsi="Times New Roman" w:cs="Times New Roman"/>
          <w:sz w:val="20"/>
          <w:szCs w:val="20"/>
        </w:rPr>
        <w:t xml:space="preserve">  </w:t>
      </w:r>
    </w:p>
    <w:p w:rsidR="007038B4" w:rsidRPr="004832EE" w:rsidRDefault="007038B4" w:rsidP="00F127CD">
      <w:pPr>
        <w:spacing w:after="80"/>
        <w:jc w:val="both"/>
        <w:rPr>
          <w:rFonts w:ascii="Times New Roman" w:hAnsi="Times New Roman" w:cs="Times New Roman"/>
          <w:i/>
          <w:sz w:val="20"/>
          <w:szCs w:val="20"/>
        </w:rPr>
      </w:pPr>
      <w:r w:rsidRPr="004832EE">
        <w:rPr>
          <w:rFonts w:ascii="Times New Roman" w:hAnsi="Times New Roman" w:cs="Times New Roman"/>
          <w:i/>
          <w:sz w:val="20"/>
          <w:szCs w:val="20"/>
        </w:rPr>
        <w:t xml:space="preserve">If the client </w:t>
      </w:r>
      <w:r w:rsidRPr="004832EE">
        <w:rPr>
          <w:rFonts w:ascii="Times New Roman" w:hAnsi="Times New Roman" w:cs="Times New Roman"/>
          <w:i/>
          <w:sz w:val="20"/>
          <w:szCs w:val="20"/>
          <w:u w:val="single"/>
        </w:rPr>
        <w:t>agrees</w:t>
      </w:r>
      <w:r w:rsidRPr="004832EE">
        <w:rPr>
          <w:rFonts w:ascii="Times New Roman" w:hAnsi="Times New Roman" w:cs="Times New Roman"/>
          <w:i/>
          <w:sz w:val="20"/>
          <w:szCs w:val="20"/>
        </w:rPr>
        <w:t xml:space="preserve"> with the </w:t>
      </w:r>
      <w:r w:rsidR="00060560" w:rsidRPr="004832EE">
        <w:rPr>
          <w:rFonts w:ascii="Times New Roman" w:hAnsi="Times New Roman" w:cs="Times New Roman"/>
          <w:i/>
          <w:sz w:val="20"/>
          <w:szCs w:val="20"/>
        </w:rPr>
        <w:t xml:space="preserve">energy savings </w:t>
      </w:r>
      <w:r w:rsidRPr="004832EE">
        <w:rPr>
          <w:rFonts w:ascii="Times New Roman" w:hAnsi="Times New Roman" w:cs="Times New Roman"/>
          <w:i/>
          <w:sz w:val="20"/>
          <w:szCs w:val="20"/>
        </w:rPr>
        <w:t>report</w:t>
      </w:r>
      <w:r w:rsidR="00947C3E" w:rsidRPr="004832EE">
        <w:rPr>
          <w:rFonts w:ascii="Times New Roman" w:hAnsi="Times New Roman" w:cs="Times New Roman"/>
          <w:i/>
          <w:sz w:val="20"/>
          <w:szCs w:val="20"/>
        </w:rPr>
        <w:t xml:space="preserve"> received from the technical services provider</w:t>
      </w:r>
      <w:r w:rsidR="00060560" w:rsidRPr="004832EE">
        <w:rPr>
          <w:rFonts w:ascii="Times New Roman" w:hAnsi="Times New Roman" w:cs="Times New Roman"/>
          <w:i/>
          <w:sz w:val="20"/>
          <w:szCs w:val="20"/>
        </w:rPr>
        <w:t xml:space="preserve">: </w:t>
      </w:r>
    </w:p>
    <w:p w:rsidR="00F601B3" w:rsidRPr="004832EE" w:rsidRDefault="00F601B3"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2:</w:t>
      </w:r>
      <w:r w:rsidRPr="004832EE">
        <w:rPr>
          <w:rFonts w:ascii="Times New Roman" w:hAnsi="Times New Roman" w:cs="Times New Roman"/>
          <w:sz w:val="20"/>
          <w:szCs w:val="20"/>
        </w:rPr>
        <w:t xml:space="preserve">  </w:t>
      </w:r>
      <w:r w:rsidR="007038B4" w:rsidRPr="004832EE">
        <w:rPr>
          <w:rFonts w:ascii="Times New Roman" w:hAnsi="Times New Roman" w:cs="Times New Roman"/>
          <w:sz w:val="20"/>
          <w:szCs w:val="20"/>
        </w:rPr>
        <w:t xml:space="preserve">The </w:t>
      </w:r>
      <w:r w:rsidR="00060560" w:rsidRPr="004832EE">
        <w:rPr>
          <w:rFonts w:ascii="Times New Roman" w:hAnsi="Times New Roman" w:cs="Times New Roman"/>
          <w:sz w:val="20"/>
          <w:szCs w:val="20"/>
        </w:rPr>
        <w:t xml:space="preserve">beneficiary firm </w:t>
      </w:r>
      <w:r w:rsidRPr="004832EE">
        <w:rPr>
          <w:rFonts w:ascii="Times New Roman" w:hAnsi="Times New Roman" w:cs="Times New Roman"/>
          <w:sz w:val="20"/>
          <w:szCs w:val="20"/>
        </w:rPr>
        <w:t xml:space="preserve">pays the </w:t>
      </w:r>
      <w:r w:rsidR="00060560" w:rsidRPr="004832EE">
        <w:rPr>
          <w:rFonts w:ascii="Times New Roman" w:hAnsi="Times New Roman" w:cs="Times New Roman"/>
          <w:sz w:val="20"/>
          <w:szCs w:val="20"/>
        </w:rPr>
        <w:t xml:space="preserve">technical </w:t>
      </w:r>
      <w:r w:rsidR="004832EE" w:rsidRPr="004832EE">
        <w:rPr>
          <w:rFonts w:ascii="Times New Roman" w:hAnsi="Times New Roman" w:cs="Times New Roman"/>
          <w:sz w:val="20"/>
          <w:szCs w:val="20"/>
        </w:rPr>
        <w:t>services providers</w:t>
      </w:r>
      <w:r w:rsidR="007038B4" w:rsidRPr="004832EE">
        <w:rPr>
          <w:rFonts w:ascii="Times New Roman" w:hAnsi="Times New Roman" w:cs="Times New Roman"/>
          <w:sz w:val="20"/>
          <w:szCs w:val="20"/>
        </w:rPr>
        <w:t xml:space="preserve"> </w:t>
      </w:r>
      <w:r w:rsidR="00060560" w:rsidRPr="004832EE">
        <w:rPr>
          <w:rFonts w:ascii="Times New Roman" w:hAnsi="Times New Roman" w:cs="Times New Roman"/>
          <w:sz w:val="20"/>
          <w:szCs w:val="20"/>
        </w:rPr>
        <w:t xml:space="preserve">a previously established percentage of his/her contract </w:t>
      </w:r>
      <w:r w:rsidR="004832EE" w:rsidRPr="004832EE">
        <w:rPr>
          <w:rFonts w:ascii="Times New Roman" w:hAnsi="Times New Roman" w:cs="Times New Roman"/>
          <w:sz w:val="20"/>
          <w:szCs w:val="20"/>
        </w:rPr>
        <w:t>amounts</w:t>
      </w:r>
      <w:r w:rsidR="00060560" w:rsidRPr="004832EE">
        <w:rPr>
          <w:rFonts w:ascii="Times New Roman" w:hAnsi="Times New Roman" w:cs="Times New Roman"/>
          <w:sz w:val="20"/>
          <w:szCs w:val="20"/>
        </w:rPr>
        <w:t xml:space="preserve">. </w:t>
      </w:r>
      <w:r w:rsidRPr="004832EE">
        <w:rPr>
          <w:rFonts w:ascii="Times New Roman" w:hAnsi="Times New Roman" w:cs="Times New Roman"/>
          <w:sz w:val="20"/>
          <w:szCs w:val="20"/>
        </w:rPr>
        <w:t xml:space="preserve">  </w:t>
      </w:r>
    </w:p>
    <w:p w:rsidR="007038B4" w:rsidRPr="004832EE" w:rsidRDefault="007038B4"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3:</w:t>
      </w:r>
      <w:r w:rsidRPr="004832EE">
        <w:rPr>
          <w:rFonts w:ascii="Times New Roman" w:hAnsi="Times New Roman" w:cs="Times New Roman"/>
          <w:sz w:val="20"/>
          <w:szCs w:val="20"/>
        </w:rPr>
        <w:t xml:space="preserve">  The </w:t>
      </w:r>
      <w:r w:rsidR="00060560" w:rsidRPr="004832EE">
        <w:rPr>
          <w:rFonts w:ascii="Times New Roman" w:hAnsi="Times New Roman" w:cs="Times New Roman"/>
          <w:sz w:val="20"/>
          <w:szCs w:val="20"/>
        </w:rPr>
        <w:t>beneficiary firm, or the technical s</w:t>
      </w:r>
      <w:r w:rsidR="004832EE">
        <w:rPr>
          <w:rFonts w:ascii="Times New Roman" w:hAnsi="Times New Roman" w:cs="Times New Roman"/>
          <w:sz w:val="20"/>
          <w:szCs w:val="20"/>
        </w:rPr>
        <w:t>ervices provider on his behalf,</w:t>
      </w:r>
      <w:r w:rsidR="00F127CD">
        <w:rPr>
          <w:rFonts w:ascii="Times New Roman" w:hAnsi="Times New Roman" w:cs="Times New Roman"/>
          <w:sz w:val="20"/>
          <w:szCs w:val="20"/>
        </w:rPr>
        <w:t xml:space="preserve"> </w:t>
      </w:r>
      <w:r w:rsidRPr="004832EE">
        <w:rPr>
          <w:rFonts w:ascii="Times New Roman" w:hAnsi="Times New Roman" w:cs="Times New Roman"/>
          <w:sz w:val="20"/>
          <w:szCs w:val="20"/>
        </w:rPr>
        <w:t>send</w:t>
      </w:r>
      <w:r w:rsidR="00060560" w:rsidRPr="004832EE">
        <w:rPr>
          <w:rFonts w:ascii="Times New Roman" w:hAnsi="Times New Roman" w:cs="Times New Roman"/>
          <w:sz w:val="20"/>
          <w:szCs w:val="20"/>
        </w:rPr>
        <w:t>s</w:t>
      </w:r>
      <w:r w:rsidRPr="004832EE">
        <w:rPr>
          <w:rFonts w:ascii="Times New Roman" w:hAnsi="Times New Roman" w:cs="Times New Roman"/>
          <w:sz w:val="20"/>
          <w:szCs w:val="20"/>
        </w:rPr>
        <w:t xml:space="preserve"> </w:t>
      </w:r>
      <w:r w:rsidR="00060560" w:rsidRPr="004832EE">
        <w:rPr>
          <w:rFonts w:ascii="Times New Roman" w:hAnsi="Times New Roman" w:cs="Times New Roman"/>
          <w:sz w:val="20"/>
          <w:szCs w:val="20"/>
        </w:rPr>
        <w:t xml:space="preserve">to Bancoldex </w:t>
      </w:r>
      <w:r w:rsidRPr="004832EE">
        <w:rPr>
          <w:rFonts w:ascii="Times New Roman" w:hAnsi="Times New Roman" w:cs="Times New Roman"/>
          <w:sz w:val="20"/>
          <w:szCs w:val="20"/>
        </w:rPr>
        <w:t>the monitoring report (using a standard template)</w:t>
      </w:r>
      <w:r w:rsidR="00060560" w:rsidRPr="004832EE">
        <w:rPr>
          <w:rFonts w:ascii="Times New Roman" w:hAnsi="Times New Roman" w:cs="Times New Roman"/>
          <w:sz w:val="20"/>
          <w:szCs w:val="20"/>
        </w:rPr>
        <w:t>. R</w:t>
      </w:r>
      <w:r w:rsidRPr="004832EE">
        <w:rPr>
          <w:rFonts w:ascii="Times New Roman" w:hAnsi="Times New Roman" w:cs="Times New Roman"/>
          <w:sz w:val="20"/>
          <w:szCs w:val="20"/>
        </w:rPr>
        <w:t>eports should be sent at least once a year</w:t>
      </w:r>
      <w:r w:rsidR="00060560" w:rsidRPr="004832EE">
        <w:rPr>
          <w:rFonts w:ascii="Times New Roman" w:hAnsi="Times New Roman" w:cs="Times New Roman"/>
          <w:sz w:val="20"/>
          <w:szCs w:val="20"/>
        </w:rPr>
        <w:t xml:space="preserve"> during the beneficiary firm’s loan repayment period</w:t>
      </w:r>
      <w:r w:rsidRPr="004832EE">
        <w:rPr>
          <w:rFonts w:ascii="Times New Roman" w:hAnsi="Times New Roman" w:cs="Times New Roman"/>
          <w:sz w:val="20"/>
          <w:szCs w:val="20"/>
        </w:rPr>
        <w:t xml:space="preserve">) </w:t>
      </w:r>
    </w:p>
    <w:p w:rsidR="007038B4" w:rsidRPr="004832EE" w:rsidRDefault="007038B4"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4:</w:t>
      </w:r>
      <w:r w:rsidRPr="004832EE">
        <w:rPr>
          <w:rFonts w:ascii="Times New Roman" w:hAnsi="Times New Roman" w:cs="Times New Roman"/>
          <w:sz w:val="20"/>
          <w:szCs w:val="20"/>
        </w:rPr>
        <w:t xml:space="preserve"> Bancoldex maintain</w:t>
      </w:r>
      <w:r w:rsidR="00060560" w:rsidRPr="004832EE">
        <w:rPr>
          <w:rFonts w:ascii="Times New Roman" w:hAnsi="Times New Roman" w:cs="Times New Roman"/>
          <w:sz w:val="20"/>
          <w:szCs w:val="20"/>
        </w:rPr>
        <w:t>s</w:t>
      </w:r>
      <w:r w:rsidRPr="004832EE">
        <w:rPr>
          <w:rFonts w:ascii="Times New Roman" w:hAnsi="Times New Roman" w:cs="Times New Roman"/>
          <w:sz w:val="20"/>
          <w:szCs w:val="20"/>
        </w:rPr>
        <w:t xml:space="preserve"> the reports in an electronic registry system that estimates the </w:t>
      </w:r>
      <w:r w:rsidR="00947C3E" w:rsidRPr="004832EE">
        <w:rPr>
          <w:rFonts w:ascii="Times New Roman" w:hAnsi="Times New Roman" w:cs="Times New Roman"/>
          <w:sz w:val="20"/>
          <w:szCs w:val="20"/>
        </w:rPr>
        <w:t>overall</w:t>
      </w:r>
      <w:r w:rsidRPr="004832EE">
        <w:rPr>
          <w:rFonts w:ascii="Times New Roman" w:hAnsi="Times New Roman" w:cs="Times New Roman"/>
          <w:sz w:val="20"/>
          <w:szCs w:val="20"/>
        </w:rPr>
        <w:t xml:space="preserve"> amount of energy savings </w:t>
      </w:r>
      <w:r w:rsidR="00947C3E" w:rsidRPr="004832EE">
        <w:rPr>
          <w:rFonts w:ascii="Times New Roman" w:hAnsi="Times New Roman" w:cs="Times New Roman"/>
          <w:sz w:val="20"/>
          <w:szCs w:val="20"/>
        </w:rPr>
        <w:t xml:space="preserve">and GHG emission reductions </w:t>
      </w:r>
      <w:r w:rsidRPr="004832EE">
        <w:rPr>
          <w:rFonts w:ascii="Times New Roman" w:hAnsi="Times New Roman" w:cs="Times New Roman"/>
          <w:sz w:val="20"/>
          <w:szCs w:val="20"/>
        </w:rPr>
        <w:t>that are being achieved by individual projects.  Th</w:t>
      </w:r>
      <w:r w:rsidR="00947C3E" w:rsidRPr="004832EE">
        <w:rPr>
          <w:rFonts w:ascii="Times New Roman" w:hAnsi="Times New Roman" w:cs="Times New Roman"/>
          <w:sz w:val="20"/>
          <w:szCs w:val="20"/>
        </w:rPr>
        <w:t>is</w:t>
      </w:r>
      <w:r w:rsidRPr="004832EE">
        <w:rPr>
          <w:rFonts w:ascii="Times New Roman" w:hAnsi="Times New Roman" w:cs="Times New Roman"/>
          <w:sz w:val="20"/>
          <w:szCs w:val="20"/>
        </w:rPr>
        <w:t xml:space="preserve"> registry </w:t>
      </w:r>
      <w:r w:rsidR="00947C3E" w:rsidRPr="004832EE">
        <w:rPr>
          <w:rFonts w:ascii="Times New Roman" w:hAnsi="Times New Roman" w:cs="Times New Roman"/>
          <w:sz w:val="20"/>
          <w:szCs w:val="20"/>
        </w:rPr>
        <w:t>w</w:t>
      </w:r>
      <w:r w:rsidRPr="004832EE">
        <w:rPr>
          <w:rFonts w:ascii="Times New Roman" w:hAnsi="Times New Roman" w:cs="Times New Roman"/>
          <w:sz w:val="20"/>
          <w:szCs w:val="20"/>
        </w:rPr>
        <w:t xml:space="preserve">ill be used as </w:t>
      </w:r>
      <w:r w:rsidR="00947C3E" w:rsidRPr="004832EE">
        <w:rPr>
          <w:rFonts w:ascii="Times New Roman" w:hAnsi="Times New Roman" w:cs="Times New Roman"/>
          <w:sz w:val="20"/>
          <w:szCs w:val="20"/>
        </w:rPr>
        <w:t xml:space="preserve">the </w:t>
      </w:r>
      <w:r w:rsidRPr="004832EE">
        <w:rPr>
          <w:rFonts w:ascii="Times New Roman" w:hAnsi="Times New Roman" w:cs="Times New Roman"/>
          <w:sz w:val="20"/>
          <w:szCs w:val="20"/>
        </w:rPr>
        <w:t xml:space="preserve">basis for </w:t>
      </w:r>
      <w:r w:rsidR="00947C3E" w:rsidRPr="004832EE">
        <w:rPr>
          <w:rFonts w:ascii="Times New Roman" w:hAnsi="Times New Roman" w:cs="Times New Roman"/>
          <w:sz w:val="20"/>
          <w:szCs w:val="20"/>
        </w:rPr>
        <w:t xml:space="preserve">the impact </w:t>
      </w:r>
      <w:r w:rsidRPr="004832EE">
        <w:rPr>
          <w:rFonts w:ascii="Times New Roman" w:hAnsi="Times New Roman" w:cs="Times New Roman"/>
          <w:sz w:val="20"/>
          <w:szCs w:val="20"/>
        </w:rPr>
        <w:t>evaluation of the program</w:t>
      </w:r>
      <w:r w:rsidR="00947C3E" w:rsidRPr="004832EE">
        <w:rPr>
          <w:rFonts w:ascii="Times New Roman" w:hAnsi="Times New Roman" w:cs="Times New Roman"/>
          <w:sz w:val="20"/>
          <w:szCs w:val="20"/>
        </w:rPr>
        <w:t xml:space="preserve">. </w:t>
      </w:r>
      <w:r w:rsidRPr="004832EE">
        <w:rPr>
          <w:rFonts w:ascii="Times New Roman" w:hAnsi="Times New Roman" w:cs="Times New Roman"/>
          <w:sz w:val="20"/>
          <w:szCs w:val="20"/>
        </w:rPr>
        <w:t xml:space="preserve">  </w:t>
      </w:r>
    </w:p>
    <w:p w:rsidR="007038B4" w:rsidRPr="004832EE" w:rsidRDefault="007038B4" w:rsidP="00F127CD">
      <w:pPr>
        <w:spacing w:after="80"/>
        <w:jc w:val="both"/>
        <w:rPr>
          <w:rFonts w:ascii="Times New Roman" w:hAnsi="Times New Roman" w:cs="Times New Roman"/>
          <w:i/>
          <w:sz w:val="20"/>
          <w:szCs w:val="20"/>
        </w:rPr>
      </w:pPr>
      <w:r w:rsidRPr="004832EE">
        <w:rPr>
          <w:rFonts w:ascii="Times New Roman" w:hAnsi="Times New Roman" w:cs="Times New Roman"/>
          <w:i/>
          <w:sz w:val="20"/>
          <w:szCs w:val="20"/>
        </w:rPr>
        <w:t xml:space="preserve">If the </w:t>
      </w:r>
      <w:r w:rsidR="00947C3E" w:rsidRPr="004832EE">
        <w:rPr>
          <w:rFonts w:ascii="Times New Roman" w:hAnsi="Times New Roman" w:cs="Times New Roman"/>
          <w:i/>
          <w:sz w:val="20"/>
          <w:szCs w:val="20"/>
        </w:rPr>
        <w:t>beneficiary firm</w:t>
      </w:r>
      <w:r w:rsidRPr="004832EE">
        <w:rPr>
          <w:rFonts w:ascii="Times New Roman" w:hAnsi="Times New Roman" w:cs="Times New Roman"/>
          <w:i/>
          <w:sz w:val="20"/>
          <w:szCs w:val="20"/>
        </w:rPr>
        <w:t xml:space="preserve"> does </w:t>
      </w:r>
      <w:r w:rsidRPr="004832EE">
        <w:rPr>
          <w:rFonts w:ascii="Times New Roman" w:hAnsi="Times New Roman" w:cs="Times New Roman"/>
          <w:i/>
          <w:sz w:val="20"/>
          <w:szCs w:val="20"/>
          <w:u w:val="single"/>
        </w:rPr>
        <w:t>not agree</w:t>
      </w:r>
      <w:r w:rsidRPr="004832EE">
        <w:rPr>
          <w:rFonts w:ascii="Times New Roman" w:hAnsi="Times New Roman" w:cs="Times New Roman"/>
          <w:i/>
          <w:sz w:val="20"/>
          <w:szCs w:val="20"/>
        </w:rPr>
        <w:t xml:space="preserve"> with the </w:t>
      </w:r>
      <w:r w:rsidR="00947C3E" w:rsidRPr="004832EE">
        <w:rPr>
          <w:rFonts w:ascii="Times New Roman" w:hAnsi="Times New Roman" w:cs="Times New Roman"/>
          <w:i/>
          <w:sz w:val="20"/>
          <w:szCs w:val="20"/>
        </w:rPr>
        <w:t xml:space="preserve">energy savings </w:t>
      </w:r>
      <w:r w:rsidRPr="004832EE">
        <w:rPr>
          <w:rFonts w:ascii="Times New Roman" w:hAnsi="Times New Roman" w:cs="Times New Roman"/>
          <w:i/>
          <w:sz w:val="20"/>
          <w:szCs w:val="20"/>
        </w:rPr>
        <w:t xml:space="preserve">report </w:t>
      </w:r>
      <w:r w:rsidR="00947C3E" w:rsidRPr="004832EE">
        <w:rPr>
          <w:rFonts w:ascii="Times New Roman" w:hAnsi="Times New Roman" w:cs="Times New Roman"/>
          <w:i/>
          <w:sz w:val="20"/>
          <w:szCs w:val="20"/>
        </w:rPr>
        <w:t xml:space="preserve">received from the </w:t>
      </w:r>
      <w:r w:rsidR="004832EE" w:rsidRPr="004832EE">
        <w:rPr>
          <w:rFonts w:ascii="Times New Roman" w:hAnsi="Times New Roman" w:cs="Times New Roman"/>
          <w:i/>
          <w:sz w:val="20"/>
          <w:szCs w:val="20"/>
        </w:rPr>
        <w:t>technical services</w:t>
      </w:r>
      <w:r w:rsidRPr="004832EE">
        <w:rPr>
          <w:rFonts w:ascii="Times New Roman" w:hAnsi="Times New Roman" w:cs="Times New Roman"/>
          <w:i/>
          <w:sz w:val="20"/>
          <w:szCs w:val="20"/>
        </w:rPr>
        <w:t xml:space="preserve"> provider: </w:t>
      </w:r>
    </w:p>
    <w:p w:rsidR="00F601B3" w:rsidRPr="004832EE" w:rsidRDefault="00F601B3"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2 bis:</w:t>
      </w:r>
      <w:r w:rsidRPr="004832EE">
        <w:rPr>
          <w:rFonts w:ascii="Times New Roman" w:hAnsi="Times New Roman" w:cs="Times New Roman"/>
          <w:sz w:val="20"/>
          <w:szCs w:val="20"/>
        </w:rPr>
        <w:t xml:space="preserve"> </w:t>
      </w:r>
      <w:r w:rsidR="00E50745" w:rsidRPr="004832EE">
        <w:rPr>
          <w:rFonts w:ascii="Times New Roman" w:hAnsi="Times New Roman" w:cs="Times New Roman"/>
          <w:sz w:val="20"/>
          <w:szCs w:val="20"/>
        </w:rPr>
        <w:t xml:space="preserve"> </w:t>
      </w:r>
      <w:r w:rsidR="007038B4" w:rsidRPr="004832EE">
        <w:rPr>
          <w:rFonts w:ascii="Times New Roman" w:hAnsi="Times New Roman" w:cs="Times New Roman"/>
          <w:sz w:val="20"/>
          <w:szCs w:val="20"/>
        </w:rPr>
        <w:t xml:space="preserve">The </w:t>
      </w:r>
      <w:r w:rsidR="00947C3E" w:rsidRPr="004832EE">
        <w:rPr>
          <w:rFonts w:ascii="Times New Roman" w:hAnsi="Times New Roman" w:cs="Times New Roman"/>
          <w:sz w:val="20"/>
          <w:szCs w:val="20"/>
        </w:rPr>
        <w:t xml:space="preserve">beneficiary firm </w:t>
      </w:r>
      <w:r w:rsidR="007038B4" w:rsidRPr="004832EE">
        <w:rPr>
          <w:rFonts w:ascii="Times New Roman" w:hAnsi="Times New Roman" w:cs="Times New Roman"/>
          <w:sz w:val="20"/>
          <w:szCs w:val="20"/>
        </w:rPr>
        <w:t>sends the report</w:t>
      </w:r>
      <w:r w:rsidRPr="004832EE">
        <w:rPr>
          <w:rFonts w:ascii="Times New Roman" w:hAnsi="Times New Roman" w:cs="Times New Roman"/>
          <w:sz w:val="20"/>
          <w:szCs w:val="20"/>
        </w:rPr>
        <w:t xml:space="preserve"> to an external v</w:t>
      </w:r>
      <w:r w:rsidR="00947C3E" w:rsidRPr="004832EE">
        <w:rPr>
          <w:rFonts w:ascii="Times New Roman" w:hAnsi="Times New Roman" w:cs="Times New Roman"/>
          <w:sz w:val="20"/>
          <w:szCs w:val="20"/>
        </w:rPr>
        <w:t>erifier</w:t>
      </w:r>
      <w:r w:rsidRPr="004832EE">
        <w:rPr>
          <w:rFonts w:ascii="Times New Roman" w:hAnsi="Times New Roman" w:cs="Times New Roman"/>
          <w:sz w:val="20"/>
          <w:szCs w:val="20"/>
        </w:rPr>
        <w:t xml:space="preserve"> contracted by Bancoldex to review the monitoring reports. </w:t>
      </w:r>
    </w:p>
    <w:p w:rsidR="00F601B3" w:rsidRPr="004832EE" w:rsidRDefault="00F601B3"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3</w:t>
      </w:r>
      <w:r w:rsidR="007038B4" w:rsidRPr="004832EE">
        <w:rPr>
          <w:rFonts w:ascii="Times New Roman" w:hAnsi="Times New Roman" w:cs="Times New Roman"/>
          <w:i/>
          <w:sz w:val="20"/>
          <w:szCs w:val="20"/>
        </w:rPr>
        <w:t xml:space="preserve"> bis:</w:t>
      </w:r>
      <w:r w:rsidR="007038B4" w:rsidRPr="004832EE">
        <w:rPr>
          <w:rFonts w:ascii="Times New Roman" w:hAnsi="Times New Roman" w:cs="Times New Roman"/>
          <w:sz w:val="20"/>
          <w:szCs w:val="20"/>
        </w:rPr>
        <w:t xml:space="preserve">  The ve</w:t>
      </w:r>
      <w:r w:rsidR="00947C3E" w:rsidRPr="004832EE">
        <w:rPr>
          <w:rFonts w:ascii="Times New Roman" w:hAnsi="Times New Roman" w:cs="Times New Roman"/>
          <w:sz w:val="20"/>
          <w:szCs w:val="20"/>
        </w:rPr>
        <w:t>rifier</w:t>
      </w:r>
      <w:r w:rsidR="007038B4" w:rsidRPr="004832EE">
        <w:rPr>
          <w:rFonts w:ascii="Times New Roman" w:hAnsi="Times New Roman" w:cs="Times New Roman"/>
          <w:sz w:val="20"/>
          <w:szCs w:val="20"/>
        </w:rPr>
        <w:t xml:space="preserve"> assesses the </w:t>
      </w:r>
      <w:r w:rsidR="00947C3E" w:rsidRPr="004832EE">
        <w:rPr>
          <w:rFonts w:ascii="Times New Roman" w:hAnsi="Times New Roman" w:cs="Times New Roman"/>
          <w:sz w:val="20"/>
          <w:szCs w:val="20"/>
        </w:rPr>
        <w:t xml:space="preserve">energy savings </w:t>
      </w:r>
      <w:r w:rsidR="007038B4" w:rsidRPr="004832EE">
        <w:rPr>
          <w:rFonts w:ascii="Times New Roman" w:hAnsi="Times New Roman" w:cs="Times New Roman"/>
          <w:sz w:val="20"/>
          <w:szCs w:val="20"/>
        </w:rPr>
        <w:t xml:space="preserve">report and </w:t>
      </w:r>
      <w:r w:rsidR="00947C3E" w:rsidRPr="004832EE">
        <w:rPr>
          <w:rFonts w:ascii="Times New Roman" w:hAnsi="Times New Roman" w:cs="Times New Roman"/>
          <w:sz w:val="20"/>
          <w:szCs w:val="20"/>
        </w:rPr>
        <w:t xml:space="preserve">determines the actual energy savings generated by the project. </w:t>
      </w:r>
      <w:r w:rsidR="007038B4" w:rsidRPr="004832EE">
        <w:rPr>
          <w:rFonts w:ascii="Times New Roman" w:hAnsi="Times New Roman" w:cs="Times New Roman"/>
          <w:sz w:val="20"/>
          <w:szCs w:val="20"/>
        </w:rPr>
        <w:t xml:space="preserve">  </w:t>
      </w:r>
    </w:p>
    <w:p w:rsidR="007038B4" w:rsidRPr="004832EE" w:rsidRDefault="007038B4"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4 bis:</w:t>
      </w:r>
      <w:r w:rsidRPr="004832EE">
        <w:rPr>
          <w:rFonts w:ascii="Times New Roman" w:hAnsi="Times New Roman" w:cs="Times New Roman"/>
          <w:sz w:val="20"/>
          <w:szCs w:val="20"/>
        </w:rPr>
        <w:t xml:space="preserve">  In case the verifier assessment concludes that the energy savings were below those </w:t>
      </w:r>
      <w:r w:rsidR="00947C3E" w:rsidRPr="004832EE">
        <w:rPr>
          <w:rFonts w:ascii="Times New Roman" w:hAnsi="Times New Roman" w:cs="Times New Roman"/>
          <w:sz w:val="20"/>
          <w:szCs w:val="20"/>
        </w:rPr>
        <w:t xml:space="preserve">promised </w:t>
      </w:r>
      <w:r w:rsidRPr="004832EE">
        <w:rPr>
          <w:rFonts w:ascii="Times New Roman" w:hAnsi="Times New Roman" w:cs="Times New Roman"/>
          <w:sz w:val="20"/>
          <w:szCs w:val="20"/>
        </w:rPr>
        <w:t xml:space="preserve">by the </w:t>
      </w:r>
      <w:r w:rsidR="00947C3E" w:rsidRPr="004832EE">
        <w:rPr>
          <w:rFonts w:ascii="Times New Roman" w:hAnsi="Times New Roman" w:cs="Times New Roman"/>
          <w:sz w:val="20"/>
          <w:szCs w:val="20"/>
        </w:rPr>
        <w:t xml:space="preserve">technical services </w:t>
      </w:r>
      <w:r w:rsidRPr="004832EE">
        <w:rPr>
          <w:rFonts w:ascii="Times New Roman" w:hAnsi="Times New Roman" w:cs="Times New Roman"/>
          <w:sz w:val="20"/>
          <w:szCs w:val="20"/>
        </w:rPr>
        <w:t xml:space="preserve">provider </w:t>
      </w:r>
      <w:r w:rsidR="00947C3E" w:rsidRPr="004832EE">
        <w:rPr>
          <w:rFonts w:ascii="Times New Roman" w:hAnsi="Times New Roman" w:cs="Times New Roman"/>
          <w:sz w:val="20"/>
          <w:szCs w:val="20"/>
        </w:rPr>
        <w:t xml:space="preserve">to </w:t>
      </w:r>
      <w:r w:rsidRPr="004832EE">
        <w:rPr>
          <w:rFonts w:ascii="Times New Roman" w:hAnsi="Times New Roman" w:cs="Times New Roman"/>
          <w:sz w:val="20"/>
          <w:szCs w:val="20"/>
        </w:rPr>
        <w:t xml:space="preserve">the </w:t>
      </w:r>
      <w:r w:rsidR="00947C3E" w:rsidRPr="004832EE">
        <w:rPr>
          <w:rFonts w:ascii="Times New Roman" w:hAnsi="Times New Roman" w:cs="Times New Roman"/>
          <w:sz w:val="20"/>
          <w:szCs w:val="20"/>
        </w:rPr>
        <w:t>beneficiary firm at the beginning of the project, the beneficiary firm does not pay the technical services provider the performance payment that he/she was scheduled to receive in that period. If such amount is not enough to cover</w:t>
      </w:r>
      <w:r w:rsidR="00270724" w:rsidRPr="004832EE">
        <w:rPr>
          <w:rFonts w:ascii="Times New Roman" w:hAnsi="Times New Roman" w:cs="Times New Roman"/>
          <w:sz w:val="20"/>
          <w:szCs w:val="20"/>
        </w:rPr>
        <w:t xml:space="preserve"> the</w:t>
      </w:r>
      <w:r w:rsidR="00947C3E" w:rsidRPr="004832EE">
        <w:rPr>
          <w:rFonts w:ascii="Times New Roman" w:hAnsi="Times New Roman" w:cs="Times New Roman"/>
          <w:sz w:val="20"/>
          <w:szCs w:val="20"/>
        </w:rPr>
        <w:t xml:space="preserve"> shortfall in energy savings, the beneficiary firm can make a claim </w:t>
      </w:r>
      <w:r w:rsidR="00270724" w:rsidRPr="004832EE">
        <w:rPr>
          <w:rFonts w:ascii="Times New Roman" w:hAnsi="Times New Roman" w:cs="Times New Roman"/>
          <w:sz w:val="20"/>
          <w:szCs w:val="20"/>
        </w:rPr>
        <w:t xml:space="preserve">on the performance insurance policy for the difference. </w:t>
      </w:r>
      <w:r w:rsidRPr="004832EE">
        <w:rPr>
          <w:rFonts w:ascii="Times New Roman" w:hAnsi="Times New Roman" w:cs="Times New Roman"/>
          <w:sz w:val="20"/>
          <w:szCs w:val="20"/>
        </w:rPr>
        <w:t xml:space="preserve">  </w:t>
      </w:r>
    </w:p>
    <w:p w:rsidR="0073272F" w:rsidRPr="004832EE" w:rsidRDefault="0073272F"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lastRenderedPageBreak/>
        <w:t>Step 5 bis:</w:t>
      </w:r>
      <w:r w:rsidRPr="004832EE">
        <w:rPr>
          <w:rFonts w:ascii="Times New Roman" w:hAnsi="Times New Roman" w:cs="Times New Roman"/>
          <w:sz w:val="20"/>
          <w:szCs w:val="20"/>
        </w:rPr>
        <w:t xml:space="preserve">  The client send</w:t>
      </w:r>
      <w:r w:rsidR="00BE298E">
        <w:rPr>
          <w:rFonts w:ascii="Times New Roman" w:hAnsi="Times New Roman" w:cs="Times New Roman"/>
          <w:sz w:val="20"/>
          <w:szCs w:val="20"/>
        </w:rPr>
        <w:t>s</w:t>
      </w:r>
      <w:r w:rsidRPr="004832EE">
        <w:rPr>
          <w:rFonts w:ascii="Times New Roman" w:hAnsi="Times New Roman" w:cs="Times New Roman"/>
          <w:sz w:val="20"/>
          <w:szCs w:val="20"/>
        </w:rPr>
        <w:t xml:space="preserve"> the final agreed monitoring report (with necessary revisions</w:t>
      </w:r>
      <w:r w:rsidR="00270724" w:rsidRPr="004832EE">
        <w:rPr>
          <w:rFonts w:ascii="Times New Roman" w:hAnsi="Times New Roman" w:cs="Times New Roman"/>
          <w:sz w:val="20"/>
          <w:szCs w:val="20"/>
        </w:rPr>
        <w:t>,</w:t>
      </w:r>
      <w:r w:rsidRPr="004832EE">
        <w:rPr>
          <w:rFonts w:ascii="Times New Roman" w:hAnsi="Times New Roman" w:cs="Times New Roman"/>
          <w:sz w:val="20"/>
          <w:szCs w:val="20"/>
        </w:rPr>
        <w:t xml:space="preserve"> if recommended by the verifier</w:t>
      </w:r>
      <w:r w:rsidR="00270724" w:rsidRPr="004832EE">
        <w:rPr>
          <w:rFonts w:ascii="Times New Roman" w:hAnsi="Times New Roman" w:cs="Times New Roman"/>
          <w:sz w:val="20"/>
          <w:szCs w:val="20"/>
        </w:rPr>
        <w:t>,</w:t>
      </w:r>
      <w:r w:rsidRPr="004832EE">
        <w:rPr>
          <w:rFonts w:ascii="Times New Roman" w:hAnsi="Times New Roman" w:cs="Times New Roman"/>
          <w:sz w:val="20"/>
          <w:szCs w:val="20"/>
        </w:rPr>
        <w:t xml:space="preserve"> and using a standard template) to Bancoldex</w:t>
      </w:r>
      <w:r w:rsidR="00270724" w:rsidRPr="004832EE">
        <w:rPr>
          <w:rFonts w:ascii="Times New Roman" w:hAnsi="Times New Roman" w:cs="Times New Roman"/>
          <w:sz w:val="20"/>
          <w:szCs w:val="20"/>
        </w:rPr>
        <w:t>. (Energy savings r</w:t>
      </w:r>
      <w:r w:rsidRPr="004832EE">
        <w:rPr>
          <w:rFonts w:ascii="Times New Roman" w:hAnsi="Times New Roman" w:cs="Times New Roman"/>
          <w:sz w:val="20"/>
          <w:szCs w:val="20"/>
        </w:rPr>
        <w:t xml:space="preserve">eports should be sent at least once a year) </w:t>
      </w:r>
    </w:p>
    <w:p w:rsidR="0073272F" w:rsidRPr="004832EE" w:rsidRDefault="0073272F" w:rsidP="00F127CD">
      <w:pPr>
        <w:spacing w:after="80"/>
        <w:jc w:val="both"/>
        <w:rPr>
          <w:rFonts w:ascii="Times New Roman" w:hAnsi="Times New Roman" w:cs="Times New Roman"/>
          <w:sz w:val="20"/>
          <w:szCs w:val="20"/>
        </w:rPr>
      </w:pPr>
      <w:r w:rsidRPr="004832EE">
        <w:rPr>
          <w:rFonts w:ascii="Times New Roman" w:hAnsi="Times New Roman" w:cs="Times New Roman"/>
          <w:i/>
          <w:sz w:val="20"/>
          <w:szCs w:val="20"/>
        </w:rPr>
        <w:t>Step 6 bis</w:t>
      </w:r>
      <w:r w:rsidRPr="004832EE">
        <w:rPr>
          <w:rFonts w:ascii="Times New Roman" w:hAnsi="Times New Roman" w:cs="Times New Roman"/>
          <w:sz w:val="20"/>
          <w:szCs w:val="20"/>
        </w:rPr>
        <w:t>: Bancoldex maintain</w:t>
      </w:r>
      <w:r w:rsidR="00270724" w:rsidRPr="004832EE">
        <w:rPr>
          <w:rFonts w:ascii="Times New Roman" w:hAnsi="Times New Roman" w:cs="Times New Roman"/>
          <w:sz w:val="20"/>
          <w:szCs w:val="20"/>
        </w:rPr>
        <w:t>s</w:t>
      </w:r>
      <w:r w:rsidRPr="004832EE">
        <w:rPr>
          <w:rFonts w:ascii="Times New Roman" w:hAnsi="Times New Roman" w:cs="Times New Roman"/>
          <w:sz w:val="20"/>
          <w:szCs w:val="20"/>
        </w:rPr>
        <w:t xml:space="preserve"> the reports in an electronic registry system that estimates the </w:t>
      </w:r>
      <w:r w:rsidR="00270724" w:rsidRPr="004832EE">
        <w:rPr>
          <w:rFonts w:ascii="Times New Roman" w:hAnsi="Times New Roman" w:cs="Times New Roman"/>
          <w:sz w:val="20"/>
          <w:szCs w:val="20"/>
        </w:rPr>
        <w:t xml:space="preserve">overall </w:t>
      </w:r>
      <w:r w:rsidRPr="004832EE">
        <w:rPr>
          <w:rFonts w:ascii="Times New Roman" w:hAnsi="Times New Roman" w:cs="Times New Roman"/>
          <w:sz w:val="20"/>
          <w:szCs w:val="20"/>
        </w:rPr>
        <w:t xml:space="preserve">amount of energy savings </w:t>
      </w:r>
      <w:r w:rsidR="00270724" w:rsidRPr="004832EE">
        <w:rPr>
          <w:rFonts w:ascii="Times New Roman" w:hAnsi="Times New Roman" w:cs="Times New Roman"/>
          <w:sz w:val="20"/>
          <w:szCs w:val="20"/>
        </w:rPr>
        <w:t xml:space="preserve">and GHG emission reductions </w:t>
      </w:r>
      <w:r w:rsidRPr="004832EE">
        <w:rPr>
          <w:rFonts w:ascii="Times New Roman" w:hAnsi="Times New Roman" w:cs="Times New Roman"/>
          <w:sz w:val="20"/>
          <w:szCs w:val="20"/>
        </w:rPr>
        <w:t>that are being achieved by individual projects.  Th</w:t>
      </w:r>
      <w:r w:rsidR="00270724" w:rsidRPr="004832EE">
        <w:rPr>
          <w:rFonts w:ascii="Times New Roman" w:hAnsi="Times New Roman" w:cs="Times New Roman"/>
          <w:sz w:val="20"/>
          <w:szCs w:val="20"/>
        </w:rPr>
        <w:t>is</w:t>
      </w:r>
      <w:r w:rsidRPr="004832EE">
        <w:rPr>
          <w:rFonts w:ascii="Times New Roman" w:hAnsi="Times New Roman" w:cs="Times New Roman"/>
          <w:sz w:val="20"/>
          <w:szCs w:val="20"/>
        </w:rPr>
        <w:t xml:space="preserve"> registry will be used as </w:t>
      </w:r>
      <w:r w:rsidR="00270724" w:rsidRPr="004832EE">
        <w:rPr>
          <w:rFonts w:ascii="Times New Roman" w:hAnsi="Times New Roman" w:cs="Times New Roman"/>
          <w:sz w:val="20"/>
          <w:szCs w:val="20"/>
        </w:rPr>
        <w:t xml:space="preserve">the </w:t>
      </w:r>
      <w:r w:rsidRPr="004832EE">
        <w:rPr>
          <w:rFonts w:ascii="Times New Roman" w:hAnsi="Times New Roman" w:cs="Times New Roman"/>
          <w:sz w:val="20"/>
          <w:szCs w:val="20"/>
        </w:rPr>
        <w:t xml:space="preserve">basis for </w:t>
      </w:r>
      <w:r w:rsidR="00270724" w:rsidRPr="004832EE">
        <w:rPr>
          <w:rFonts w:ascii="Times New Roman" w:hAnsi="Times New Roman" w:cs="Times New Roman"/>
          <w:sz w:val="20"/>
          <w:szCs w:val="20"/>
        </w:rPr>
        <w:t xml:space="preserve">the </w:t>
      </w:r>
      <w:r w:rsidRPr="004832EE">
        <w:rPr>
          <w:rFonts w:ascii="Times New Roman" w:hAnsi="Times New Roman" w:cs="Times New Roman"/>
          <w:sz w:val="20"/>
          <w:szCs w:val="20"/>
        </w:rPr>
        <w:t>evaluation of the program</w:t>
      </w:r>
      <w:r w:rsidR="00270724" w:rsidRPr="004832EE">
        <w:rPr>
          <w:rFonts w:ascii="Times New Roman" w:hAnsi="Times New Roman" w:cs="Times New Roman"/>
          <w:sz w:val="20"/>
          <w:szCs w:val="20"/>
        </w:rPr>
        <w:t>.</w:t>
      </w:r>
      <w:r w:rsidRPr="004832EE">
        <w:rPr>
          <w:rFonts w:ascii="Times New Roman" w:hAnsi="Times New Roman" w:cs="Times New Roman"/>
          <w:sz w:val="20"/>
          <w:szCs w:val="20"/>
        </w:rPr>
        <w:t xml:space="preserve">  </w:t>
      </w:r>
    </w:p>
    <w:p w:rsidR="00DB260B" w:rsidRPr="004832EE" w:rsidRDefault="00DB260B" w:rsidP="00AF4034">
      <w:pPr>
        <w:jc w:val="both"/>
        <w:rPr>
          <w:rFonts w:ascii="Times New Roman" w:hAnsi="Times New Roman" w:cs="Times New Roman"/>
          <w:sz w:val="20"/>
          <w:szCs w:val="20"/>
        </w:rPr>
      </w:pPr>
    </w:p>
    <w:p w:rsidR="009C5B0C" w:rsidRPr="004832EE" w:rsidRDefault="007038B4" w:rsidP="00AF4034">
      <w:pPr>
        <w:jc w:val="both"/>
        <w:rPr>
          <w:rFonts w:ascii="Times New Roman" w:hAnsi="Times New Roman" w:cs="Times New Roman"/>
          <w:sz w:val="24"/>
          <w:szCs w:val="24"/>
        </w:rPr>
      </w:pPr>
      <w:r w:rsidRPr="004832EE">
        <w:rPr>
          <w:rFonts w:ascii="Times New Roman" w:hAnsi="Times New Roman" w:cs="Times New Roman"/>
          <w:b/>
          <w:noProof/>
          <w:sz w:val="24"/>
          <w:szCs w:val="24"/>
        </w:rPr>
        <w:drawing>
          <wp:inline distT="0" distB="0" distL="0" distR="0" wp14:anchorId="6B00D5CE" wp14:editId="1A17260A">
            <wp:extent cx="3322425" cy="2236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026" cy="2240072"/>
                    </a:xfrm>
                    <a:prstGeom prst="rect">
                      <a:avLst/>
                    </a:prstGeom>
                    <a:noFill/>
                  </pic:spPr>
                </pic:pic>
              </a:graphicData>
            </a:graphic>
          </wp:inline>
        </w:drawing>
      </w:r>
    </w:p>
    <w:p w:rsidR="00F82DD5" w:rsidRPr="004832EE" w:rsidRDefault="00F82DD5" w:rsidP="00F82DD5">
      <w:pPr>
        <w:pStyle w:val="ListParagraph"/>
        <w:ind w:left="405"/>
        <w:jc w:val="both"/>
        <w:rPr>
          <w:rFonts w:ascii="Times New Roman" w:hAnsi="Times New Roman" w:cs="Times New Roman"/>
          <w:sz w:val="24"/>
          <w:szCs w:val="24"/>
          <w:lang w:val="es-ES"/>
        </w:rPr>
      </w:pPr>
    </w:p>
    <w:p w:rsidR="00F82DD5" w:rsidRPr="004832EE" w:rsidRDefault="00F82DD5" w:rsidP="00E50745">
      <w:pPr>
        <w:rPr>
          <w:rFonts w:ascii="Times New Roman" w:hAnsi="Times New Roman" w:cs="Times New Roman"/>
          <w:b/>
          <w:sz w:val="24"/>
          <w:szCs w:val="24"/>
          <w:lang w:val="es-ES"/>
        </w:rPr>
      </w:pPr>
    </w:p>
    <w:p w:rsidR="00E212CF" w:rsidRPr="004832EE" w:rsidRDefault="00E212CF">
      <w:pPr>
        <w:rPr>
          <w:rFonts w:ascii="Times New Roman" w:hAnsi="Times New Roman" w:cs="Times New Roman"/>
          <w:sz w:val="24"/>
          <w:szCs w:val="24"/>
        </w:rPr>
      </w:pPr>
    </w:p>
    <w:sectPr w:rsidR="00E212CF" w:rsidRPr="004832EE" w:rsidSect="00E50745">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41" w:rsidRDefault="00DB1A41" w:rsidP="00DB1A41">
      <w:pPr>
        <w:spacing w:after="0" w:line="240" w:lineRule="auto"/>
      </w:pPr>
      <w:r>
        <w:separator/>
      </w:r>
    </w:p>
  </w:endnote>
  <w:endnote w:type="continuationSeparator" w:id="0">
    <w:p w:rsidR="00DB1A41" w:rsidRDefault="00DB1A41" w:rsidP="00DB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41" w:rsidRDefault="00DB1A41">
    <w:pPr>
      <w:pStyle w:val="Footer"/>
      <w:jc w:val="center"/>
    </w:pPr>
    <w:r>
      <w:t>-</w:t>
    </w:r>
    <w:sdt>
      <w:sdtPr>
        <w:id w:val="20800162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7192">
          <w:rPr>
            <w:noProof/>
          </w:rPr>
          <w:t>1</w:t>
        </w:r>
        <w:r>
          <w:rPr>
            <w:noProof/>
          </w:rPr>
          <w:fldChar w:fldCharType="end"/>
        </w:r>
        <w:r>
          <w:rPr>
            <w:noProof/>
          </w:rPr>
          <w:t>-</w:t>
        </w:r>
      </w:sdtContent>
    </w:sdt>
  </w:p>
  <w:p w:rsidR="00DB1A41" w:rsidRDefault="00DB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41" w:rsidRDefault="00DB1A41" w:rsidP="00DB1A41">
      <w:pPr>
        <w:spacing w:after="0" w:line="240" w:lineRule="auto"/>
      </w:pPr>
      <w:r>
        <w:separator/>
      </w:r>
    </w:p>
  </w:footnote>
  <w:footnote w:type="continuationSeparator" w:id="0">
    <w:p w:rsidR="00DB1A41" w:rsidRDefault="00DB1A41" w:rsidP="00DB1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890"/>
    <w:multiLevelType w:val="hybridMultilevel"/>
    <w:tmpl w:val="7212AFD4"/>
    <w:lvl w:ilvl="0" w:tplc="E4029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71B7E"/>
    <w:multiLevelType w:val="hybridMultilevel"/>
    <w:tmpl w:val="934AFCAC"/>
    <w:lvl w:ilvl="0" w:tplc="B2948B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B682926"/>
    <w:multiLevelType w:val="hybridMultilevel"/>
    <w:tmpl w:val="830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C7149"/>
    <w:multiLevelType w:val="multilevel"/>
    <w:tmpl w:val="0F4A0E0E"/>
    <w:lvl w:ilvl="0">
      <w:start w:val="1"/>
      <w:numFmt w:val="upperRoman"/>
      <w:lvlRestart w:val="0"/>
      <w:pStyle w:val="FirstHeading"/>
      <w:lvlText w:val="%1."/>
      <w:lvlJc w:val="center"/>
      <w:pPr>
        <w:tabs>
          <w:tab w:val="num" w:pos="2088"/>
        </w:tabs>
        <w:ind w:left="1440" w:firstLine="288"/>
      </w:pPr>
      <w:rPr>
        <w:b/>
        <w:i w:val="0"/>
      </w:rPr>
    </w:lvl>
    <w:lvl w:ilvl="1">
      <w:start w:val="1"/>
      <w:numFmt w:val="decimal"/>
      <w:pStyle w:val="FirstHeading"/>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D5"/>
    <w:rsid w:val="00020A26"/>
    <w:rsid w:val="00060560"/>
    <w:rsid w:val="00157192"/>
    <w:rsid w:val="00270724"/>
    <w:rsid w:val="002764A2"/>
    <w:rsid w:val="002A4D47"/>
    <w:rsid w:val="002B0CD5"/>
    <w:rsid w:val="002C6BAD"/>
    <w:rsid w:val="0033550D"/>
    <w:rsid w:val="00351A37"/>
    <w:rsid w:val="00386D02"/>
    <w:rsid w:val="003D610B"/>
    <w:rsid w:val="00431D78"/>
    <w:rsid w:val="004631A3"/>
    <w:rsid w:val="00463A71"/>
    <w:rsid w:val="004832EE"/>
    <w:rsid w:val="0048702F"/>
    <w:rsid w:val="00493D5A"/>
    <w:rsid w:val="004C0295"/>
    <w:rsid w:val="004D30C3"/>
    <w:rsid w:val="0050589F"/>
    <w:rsid w:val="00511B8F"/>
    <w:rsid w:val="005A1883"/>
    <w:rsid w:val="00651F04"/>
    <w:rsid w:val="00661646"/>
    <w:rsid w:val="006F4279"/>
    <w:rsid w:val="007038B4"/>
    <w:rsid w:val="00722CC0"/>
    <w:rsid w:val="0073272F"/>
    <w:rsid w:val="0075788C"/>
    <w:rsid w:val="00791B46"/>
    <w:rsid w:val="00795E6D"/>
    <w:rsid w:val="007E0FF8"/>
    <w:rsid w:val="008264E1"/>
    <w:rsid w:val="00836487"/>
    <w:rsid w:val="00897196"/>
    <w:rsid w:val="00902356"/>
    <w:rsid w:val="00947C3E"/>
    <w:rsid w:val="00962974"/>
    <w:rsid w:val="00992735"/>
    <w:rsid w:val="009B61F5"/>
    <w:rsid w:val="009B7994"/>
    <w:rsid w:val="009C5B0C"/>
    <w:rsid w:val="009E4191"/>
    <w:rsid w:val="00A274A8"/>
    <w:rsid w:val="00A46A52"/>
    <w:rsid w:val="00A92C4F"/>
    <w:rsid w:val="00AF4034"/>
    <w:rsid w:val="00B1320B"/>
    <w:rsid w:val="00B50BB4"/>
    <w:rsid w:val="00BA3FB6"/>
    <w:rsid w:val="00BB4065"/>
    <w:rsid w:val="00BE298E"/>
    <w:rsid w:val="00C65256"/>
    <w:rsid w:val="00CC5F3F"/>
    <w:rsid w:val="00D13BEC"/>
    <w:rsid w:val="00D36F9B"/>
    <w:rsid w:val="00D90607"/>
    <w:rsid w:val="00DB1A41"/>
    <w:rsid w:val="00DB260B"/>
    <w:rsid w:val="00DE5CE3"/>
    <w:rsid w:val="00DF7F49"/>
    <w:rsid w:val="00E212CF"/>
    <w:rsid w:val="00E2274C"/>
    <w:rsid w:val="00E23B69"/>
    <w:rsid w:val="00E4184E"/>
    <w:rsid w:val="00E50745"/>
    <w:rsid w:val="00E648E0"/>
    <w:rsid w:val="00E934A8"/>
    <w:rsid w:val="00F127CD"/>
    <w:rsid w:val="00F479C9"/>
    <w:rsid w:val="00F601B3"/>
    <w:rsid w:val="00F82DD5"/>
    <w:rsid w:val="00F8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FCL - List Paragraph"/>
    <w:basedOn w:val="Normal"/>
    <w:link w:val="ListParagraphChar"/>
    <w:uiPriority w:val="34"/>
    <w:qFormat/>
    <w:rsid w:val="00F82DD5"/>
    <w:pPr>
      <w:ind w:left="720"/>
      <w:contextualSpacing/>
    </w:pPr>
  </w:style>
  <w:style w:type="paragraph" w:styleId="BalloonText">
    <w:name w:val="Balloon Text"/>
    <w:basedOn w:val="Normal"/>
    <w:link w:val="BalloonTextChar"/>
    <w:uiPriority w:val="99"/>
    <w:semiHidden/>
    <w:unhideWhenUsed/>
    <w:rsid w:val="00F8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D5"/>
    <w:rPr>
      <w:rFonts w:ascii="Tahoma" w:hAnsi="Tahoma" w:cs="Tahoma"/>
      <w:sz w:val="16"/>
      <w:szCs w:val="16"/>
    </w:rPr>
  </w:style>
  <w:style w:type="paragraph" w:customStyle="1" w:styleId="Ecotext">
    <w:name w:val="Eco text"/>
    <w:link w:val="EcotextCar"/>
    <w:rsid w:val="007E0FF8"/>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7E0FF8"/>
    <w:rPr>
      <w:rFonts w:ascii="Arial" w:eastAsia="Times New Roman" w:hAnsi="Arial" w:cs="Times New Roman"/>
      <w:lang w:val="fr-CA" w:eastAsia="fr-FR"/>
    </w:rPr>
  </w:style>
  <w:style w:type="character" w:customStyle="1" w:styleId="ListParagraphChar">
    <w:name w:val="List Paragraph Char"/>
    <w:aliases w:val="IFCL - List Paragraph Char"/>
    <w:basedOn w:val="DefaultParagraphFont"/>
    <w:link w:val="ListParagraph"/>
    <w:uiPriority w:val="34"/>
    <w:rsid w:val="00E23B69"/>
  </w:style>
  <w:style w:type="paragraph" w:customStyle="1" w:styleId="FirstHeading">
    <w:name w:val="FirstHeading"/>
    <w:basedOn w:val="Normal"/>
    <w:next w:val="Normal"/>
    <w:link w:val="FirstHeadingChar"/>
    <w:rsid w:val="00E23B69"/>
    <w:pPr>
      <w:numPr>
        <w:ilvl w:val="1"/>
        <w:numId w:val="3"/>
      </w:numPr>
      <w:tabs>
        <w:tab w:val="clear" w:pos="2736"/>
        <w:tab w:val="left" w:pos="0"/>
        <w:tab w:val="left" w:pos="86"/>
        <w:tab w:val="num" w:pos="2088"/>
      </w:tabs>
      <w:spacing w:before="120" w:after="120"/>
      <w:ind w:left="1440" w:firstLine="288"/>
    </w:pPr>
    <w:rPr>
      <w:rFonts w:ascii="Times New Roman" w:eastAsia="MS Mincho" w:hAnsi="Times New Roman" w:cs="Times New Roman"/>
      <w:smallCaps/>
      <w:sz w:val="24"/>
      <w:szCs w:val="24"/>
    </w:rPr>
  </w:style>
  <w:style w:type="character" w:customStyle="1" w:styleId="FirstHeadingChar">
    <w:name w:val="FirstHeading Char"/>
    <w:basedOn w:val="DefaultParagraphFont"/>
    <w:link w:val="FirstHeading"/>
    <w:rsid w:val="00E23B69"/>
    <w:rPr>
      <w:rFonts w:ascii="Times New Roman" w:eastAsia="MS Mincho" w:hAnsi="Times New Roman" w:cs="Times New Roman"/>
      <w:smallCaps/>
      <w:sz w:val="24"/>
      <w:szCs w:val="24"/>
    </w:rPr>
  </w:style>
  <w:style w:type="paragraph" w:styleId="Header">
    <w:name w:val="header"/>
    <w:basedOn w:val="Normal"/>
    <w:link w:val="HeaderChar"/>
    <w:uiPriority w:val="99"/>
    <w:unhideWhenUsed/>
    <w:rsid w:val="00DB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41"/>
  </w:style>
  <w:style w:type="paragraph" w:styleId="Footer">
    <w:name w:val="footer"/>
    <w:basedOn w:val="Normal"/>
    <w:link w:val="FooterChar"/>
    <w:uiPriority w:val="99"/>
    <w:unhideWhenUsed/>
    <w:rsid w:val="00DB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41"/>
  </w:style>
  <w:style w:type="character" w:styleId="CommentReference">
    <w:name w:val="annotation reference"/>
    <w:basedOn w:val="DefaultParagraphFont"/>
    <w:uiPriority w:val="99"/>
    <w:semiHidden/>
    <w:unhideWhenUsed/>
    <w:rsid w:val="009B61F5"/>
    <w:rPr>
      <w:sz w:val="16"/>
      <w:szCs w:val="16"/>
    </w:rPr>
  </w:style>
  <w:style w:type="paragraph" w:styleId="CommentText">
    <w:name w:val="annotation text"/>
    <w:basedOn w:val="Normal"/>
    <w:link w:val="CommentTextChar"/>
    <w:uiPriority w:val="99"/>
    <w:semiHidden/>
    <w:unhideWhenUsed/>
    <w:rsid w:val="009B61F5"/>
    <w:pPr>
      <w:spacing w:line="240" w:lineRule="auto"/>
    </w:pPr>
    <w:rPr>
      <w:sz w:val="20"/>
      <w:szCs w:val="20"/>
    </w:rPr>
  </w:style>
  <w:style w:type="character" w:customStyle="1" w:styleId="CommentTextChar">
    <w:name w:val="Comment Text Char"/>
    <w:basedOn w:val="DefaultParagraphFont"/>
    <w:link w:val="CommentText"/>
    <w:uiPriority w:val="99"/>
    <w:semiHidden/>
    <w:rsid w:val="009B61F5"/>
    <w:rPr>
      <w:sz w:val="20"/>
      <w:szCs w:val="20"/>
    </w:rPr>
  </w:style>
  <w:style w:type="paragraph" w:styleId="CommentSubject">
    <w:name w:val="annotation subject"/>
    <w:basedOn w:val="CommentText"/>
    <w:next w:val="CommentText"/>
    <w:link w:val="CommentSubjectChar"/>
    <w:uiPriority w:val="99"/>
    <w:semiHidden/>
    <w:unhideWhenUsed/>
    <w:rsid w:val="009B61F5"/>
    <w:rPr>
      <w:b/>
      <w:bCs/>
    </w:rPr>
  </w:style>
  <w:style w:type="character" w:customStyle="1" w:styleId="CommentSubjectChar">
    <w:name w:val="Comment Subject Char"/>
    <w:basedOn w:val="CommentTextChar"/>
    <w:link w:val="CommentSubject"/>
    <w:uiPriority w:val="99"/>
    <w:semiHidden/>
    <w:rsid w:val="009B61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FCL - List Paragraph"/>
    <w:basedOn w:val="Normal"/>
    <w:link w:val="ListParagraphChar"/>
    <w:uiPriority w:val="34"/>
    <w:qFormat/>
    <w:rsid w:val="00F82DD5"/>
    <w:pPr>
      <w:ind w:left="720"/>
      <w:contextualSpacing/>
    </w:pPr>
  </w:style>
  <w:style w:type="paragraph" w:styleId="BalloonText">
    <w:name w:val="Balloon Text"/>
    <w:basedOn w:val="Normal"/>
    <w:link w:val="BalloonTextChar"/>
    <w:uiPriority w:val="99"/>
    <w:semiHidden/>
    <w:unhideWhenUsed/>
    <w:rsid w:val="00F8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D5"/>
    <w:rPr>
      <w:rFonts w:ascii="Tahoma" w:hAnsi="Tahoma" w:cs="Tahoma"/>
      <w:sz w:val="16"/>
      <w:szCs w:val="16"/>
    </w:rPr>
  </w:style>
  <w:style w:type="paragraph" w:customStyle="1" w:styleId="Ecotext">
    <w:name w:val="Eco text"/>
    <w:link w:val="EcotextCar"/>
    <w:rsid w:val="007E0FF8"/>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7E0FF8"/>
    <w:rPr>
      <w:rFonts w:ascii="Arial" w:eastAsia="Times New Roman" w:hAnsi="Arial" w:cs="Times New Roman"/>
      <w:lang w:val="fr-CA" w:eastAsia="fr-FR"/>
    </w:rPr>
  </w:style>
  <w:style w:type="character" w:customStyle="1" w:styleId="ListParagraphChar">
    <w:name w:val="List Paragraph Char"/>
    <w:aliases w:val="IFCL - List Paragraph Char"/>
    <w:basedOn w:val="DefaultParagraphFont"/>
    <w:link w:val="ListParagraph"/>
    <w:uiPriority w:val="34"/>
    <w:rsid w:val="00E23B69"/>
  </w:style>
  <w:style w:type="paragraph" w:customStyle="1" w:styleId="FirstHeading">
    <w:name w:val="FirstHeading"/>
    <w:basedOn w:val="Normal"/>
    <w:next w:val="Normal"/>
    <w:link w:val="FirstHeadingChar"/>
    <w:rsid w:val="00E23B69"/>
    <w:pPr>
      <w:numPr>
        <w:ilvl w:val="1"/>
        <w:numId w:val="3"/>
      </w:numPr>
      <w:tabs>
        <w:tab w:val="clear" w:pos="2736"/>
        <w:tab w:val="left" w:pos="0"/>
        <w:tab w:val="left" w:pos="86"/>
        <w:tab w:val="num" w:pos="2088"/>
      </w:tabs>
      <w:spacing w:before="120" w:after="120"/>
      <w:ind w:left="1440" w:firstLine="288"/>
    </w:pPr>
    <w:rPr>
      <w:rFonts w:ascii="Times New Roman" w:eastAsia="MS Mincho" w:hAnsi="Times New Roman" w:cs="Times New Roman"/>
      <w:smallCaps/>
      <w:sz w:val="24"/>
      <w:szCs w:val="24"/>
    </w:rPr>
  </w:style>
  <w:style w:type="character" w:customStyle="1" w:styleId="FirstHeadingChar">
    <w:name w:val="FirstHeading Char"/>
    <w:basedOn w:val="DefaultParagraphFont"/>
    <w:link w:val="FirstHeading"/>
    <w:rsid w:val="00E23B69"/>
    <w:rPr>
      <w:rFonts w:ascii="Times New Roman" w:eastAsia="MS Mincho" w:hAnsi="Times New Roman" w:cs="Times New Roman"/>
      <w:smallCaps/>
      <w:sz w:val="24"/>
      <w:szCs w:val="24"/>
    </w:rPr>
  </w:style>
  <w:style w:type="paragraph" w:styleId="Header">
    <w:name w:val="header"/>
    <w:basedOn w:val="Normal"/>
    <w:link w:val="HeaderChar"/>
    <w:uiPriority w:val="99"/>
    <w:unhideWhenUsed/>
    <w:rsid w:val="00DB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41"/>
  </w:style>
  <w:style w:type="paragraph" w:styleId="Footer">
    <w:name w:val="footer"/>
    <w:basedOn w:val="Normal"/>
    <w:link w:val="FooterChar"/>
    <w:uiPriority w:val="99"/>
    <w:unhideWhenUsed/>
    <w:rsid w:val="00DB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41"/>
  </w:style>
  <w:style w:type="character" w:styleId="CommentReference">
    <w:name w:val="annotation reference"/>
    <w:basedOn w:val="DefaultParagraphFont"/>
    <w:uiPriority w:val="99"/>
    <w:semiHidden/>
    <w:unhideWhenUsed/>
    <w:rsid w:val="009B61F5"/>
    <w:rPr>
      <w:sz w:val="16"/>
      <w:szCs w:val="16"/>
    </w:rPr>
  </w:style>
  <w:style w:type="paragraph" w:styleId="CommentText">
    <w:name w:val="annotation text"/>
    <w:basedOn w:val="Normal"/>
    <w:link w:val="CommentTextChar"/>
    <w:uiPriority w:val="99"/>
    <w:semiHidden/>
    <w:unhideWhenUsed/>
    <w:rsid w:val="009B61F5"/>
    <w:pPr>
      <w:spacing w:line="240" w:lineRule="auto"/>
    </w:pPr>
    <w:rPr>
      <w:sz w:val="20"/>
      <w:szCs w:val="20"/>
    </w:rPr>
  </w:style>
  <w:style w:type="character" w:customStyle="1" w:styleId="CommentTextChar">
    <w:name w:val="Comment Text Char"/>
    <w:basedOn w:val="DefaultParagraphFont"/>
    <w:link w:val="CommentText"/>
    <w:uiPriority w:val="99"/>
    <w:semiHidden/>
    <w:rsid w:val="009B61F5"/>
    <w:rPr>
      <w:sz w:val="20"/>
      <w:szCs w:val="20"/>
    </w:rPr>
  </w:style>
  <w:style w:type="paragraph" w:styleId="CommentSubject">
    <w:name w:val="annotation subject"/>
    <w:basedOn w:val="CommentText"/>
    <w:next w:val="CommentText"/>
    <w:link w:val="CommentSubjectChar"/>
    <w:uiPriority w:val="99"/>
    <w:semiHidden/>
    <w:unhideWhenUsed/>
    <w:rsid w:val="009B61F5"/>
    <w:rPr>
      <w:b/>
      <w:bCs/>
    </w:rPr>
  </w:style>
  <w:style w:type="character" w:customStyle="1" w:styleId="CommentSubjectChar">
    <w:name w:val="Comment Subject Char"/>
    <w:basedOn w:val="CommentTextChar"/>
    <w:link w:val="CommentSubject"/>
    <w:uiPriority w:val="99"/>
    <w:semiHidden/>
    <w:rsid w:val="009B6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yback_perio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Test</cp:lastModifiedBy>
  <cp:revision>3</cp:revision>
  <dcterms:created xsi:type="dcterms:W3CDTF">2013-02-21T20:17:00Z</dcterms:created>
  <dcterms:modified xsi:type="dcterms:W3CDTF">2013-03-28T19:53:00Z</dcterms:modified>
</cp:coreProperties>
</file>