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E" w:rsidRPr="005B57B7" w:rsidRDefault="0050047E">
      <w:pPr>
        <w:spacing w:before="120"/>
        <w:jc w:val="center"/>
        <w:rPr>
          <w:rFonts w:ascii="Arial" w:hAnsi="Arial" w:cs="Arial"/>
          <w:lang w:val="es-ES"/>
        </w:rPr>
      </w:pPr>
    </w:p>
    <w:p w:rsidR="0050047E" w:rsidRPr="005B57B7" w:rsidRDefault="002F489E">
      <w:pPr>
        <w:spacing w:before="120"/>
        <w:jc w:val="center"/>
        <w:rPr>
          <w:rFonts w:ascii="Arial" w:hAnsi="Arial" w:cs="Arial"/>
          <w:lang w:val="es-ES"/>
        </w:rPr>
      </w:pPr>
      <w:r w:rsidRPr="005B57B7">
        <w:rPr>
          <w:rFonts w:ascii="Arial" w:hAnsi="Arial" w:cs="Arial"/>
          <w:noProof/>
        </w:rPr>
        <w:drawing>
          <wp:inline distT="0" distB="0" distL="0" distR="0" wp14:anchorId="1AB61B20" wp14:editId="573B5465">
            <wp:extent cx="2646680" cy="431165"/>
            <wp:effectExtent l="0" t="0" r="1270" b="6985"/>
            <wp:docPr id="1" name="Picture 1" descr="D:\DATA.IDB\Documents\Personal\logo_bancold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IDB\Documents\Personal\logo_bancolde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431165"/>
                    </a:xfrm>
                    <a:prstGeom prst="rect">
                      <a:avLst/>
                    </a:prstGeom>
                    <a:noFill/>
                    <a:ln>
                      <a:noFill/>
                    </a:ln>
                  </pic:spPr>
                </pic:pic>
              </a:graphicData>
            </a:graphic>
          </wp:inline>
        </w:drawing>
      </w: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p w:rsidR="0050047E" w:rsidRPr="005B57B7" w:rsidRDefault="0050047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 xml:space="preserve">Programa </w:t>
      </w:r>
      <w:r w:rsidR="002F489E" w:rsidRPr="005B57B7">
        <w:rPr>
          <w:rFonts w:ascii="Arial" w:hAnsi="Arial" w:cs="Arial"/>
          <w:b/>
          <w:bCs/>
          <w:color w:val="333399"/>
          <w:sz w:val="44"/>
          <w:szCs w:val="44"/>
          <w:lang w:val="es-ES"/>
        </w:rPr>
        <w:t>de</w:t>
      </w:r>
    </w:p>
    <w:p w:rsidR="002F489E" w:rsidRPr="005B57B7" w:rsidRDefault="002F489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Financiamiento de Energía Renovable en las Zonas no Interconectadas (ZNI) BID-</w:t>
      </w:r>
      <w:r w:rsidR="00C136B7" w:rsidRPr="005B57B7">
        <w:rPr>
          <w:rFonts w:ascii="Arial" w:hAnsi="Arial" w:cs="Arial"/>
          <w:b/>
          <w:bCs/>
          <w:color w:val="333399"/>
          <w:sz w:val="44"/>
          <w:szCs w:val="44"/>
          <w:lang w:val="es-ES"/>
        </w:rPr>
        <w:t>BANCÓLDEX</w:t>
      </w:r>
      <w:r w:rsidRPr="005B57B7">
        <w:rPr>
          <w:rFonts w:ascii="Arial" w:hAnsi="Arial" w:cs="Arial"/>
          <w:b/>
          <w:bCs/>
          <w:color w:val="333399"/>
          <w:sz w:val="44"/>
          <w:szCs w:val="44"/>
          <w:lang w:val="es-ES"/>
        </w:rPr>
        <w:t xml:space="preserve"> </w:t>
      </w:r>
    </w:p>
    <w:p w:rsidR="0050047E" w:rsidRPr="005B57B7" w:rsidRDefault="0050047E">
      <w:pPr>
        <w:spacing w:before="120"/>
        <w:jc w:val="center"/>
        <w:rPr>
          <w:rFonts w:ascii="Arial" w:hAnsi="Arial" w:cs="Arial"/>
          <w:b/>
          <w:bCs/>
          <w:color w:val="333399"/>
          <w:sz w:val="44"/>
          <w:szCs w:val="44"/>
          <w:lang w:val="es-ES"/>
        </w:rPr>
      </w:pPr>
      <w:r w:rsidRPr="005B57B7">
        <w:rPr>
          <w:rFonts w:ascii="Arial" w:hAnsi="Arial" w:cs="Arial"/>
          <w:b/>
          <w:bCs/>
          <w:color w:val="333399"/>
          <w:sz w:val="44"/>
          <w:szCs w:val="44"/>
          <w:lang w:val="es-ES"/>
        </w:rPr>
        <w:t xml:space="preserve">USD </w:t>
      </w:r>
      <w:r w:rsidR="000772CF" w:rsidRPr="005B57B7">
        <w:rPr>
          <w:rFonts w:ascii="Arial" w:hAnsi="Arial" w:cs="Arial"/>
          <w:b/>
          <w:bCs/>
          <w:color w:val="333399"/>
          <w:sz w:val="44"/>
          <w:szCs w:val="44"/>
          <w:lang w:val="es-ES"/>
        </w:rPr>
        <w:t>9.26</w:t>
      </w:r>
      <w:r w:rsidR="002F489E" w:rsidRPr="005B57B7">
        <w:rPr>
          <w:rFonts w:ascii="Arial" w:hAnsi="Arial" w:cs="Arial"/>
          <w:b/>
          <w:bCs/>
          <w:color w:val="333399"/>
          <w:sz w:val="44"/>
          <w:szCs w:val="44"/>
          <w:lang w:val="es-ES"/>
        </w:rPr>
        <w:t>5</w:t>
      </w:r>
      <w:r w:rsidR="00632B34" w:rsidRPr="005B57B7">
        <w:rPr>
          <w:rFonts w:ascii="Arial" w:hAnsi="Arial" w:cs="Arial"/>
          <w:b/>
          <w:bCs/>
          <w:color w:val="333399"/>
          <w:sz w:val="44"/>
          <w:szCs w:val="44"/>
          <w:lang w:val="es-ES"/>
        </w:rPr>
        <w:t xml:space="preserve"> </w:t>
      </w:r>
      <w:r w:rsidRPr="005B57B7">
        <w:rPr>
          <w:rFonts w:ascii="Arial" w:hAnsi="Arial" w:cs="Arial"/>
          <w:b/>
          <w:bCs/>
          <w:color w:val="333399"/>
          <w:sz w:val="44"/>
          <w:szCs w:val="44"/>
          <w:lang w:val="es-ES"/>
        </w:rPr>
        <w:t>millones</w:t>
      </w:r>
    </w:p>
    <w:p w:rsidR="0050047E" w:rsidRPr="005B57B7" w:rsidRDefault="00B7511C">
      <w:pPr>
        <w:spacing w:before="120"/>
        <w:jc w:val="center"/>
        <w:rPr>
          <w:rFonts w:ascii="Arial" w:hAnsi="Arial" w:cs="Arial"/>
          <w:b/>
          <w:bCs/>
          <w:color w:val="333399"/>
          <w:sz w:val="44"/>
          <w:szCs w:val="44"/>
          <w:lang w:val="es-ES"/>
        </w:rPr>
      </w:pPr>
      <w:r>
        <w:rPr>
          <w:rFonts w:ascii="Arial" w:hAnsi="Arial" w:cs="Arial"/>
          <w:b/>
          <w:bCs/>
          <w:color w:val="333399"/>
          <w:sz w:val="44"/>
          <w:szCs w:val="44"/>
          <w:lang w:val="es-ES"/>
        </w:rPr>
        <w:t>Proyecto CO-L1161</w:t>
      </w:r>
    </w:p>
    <w:p w:rsidR="0050047E" w:rsidRPr="005B57B7" w:rsidRDefault="0050047E">
      <w:pPr>
        <w:spacing w:before="120"/>
        <w:jc w:val="center"/>
        <w:rPr>
          <w:rFonts w:ascii="Arial" w:hAnsi="Arial" w:cs="Arial"/>
          <w:b/>
          <w:bCs/>
          <w:color w:val="333399"/>
          <w:sz w:val="56"/>
          <w:lang w:val="es-ES"/>
        </w:rPr>
      </w:pPr>
    </w:p>
    <w:p w:rsidR="0050047E" w:rsidRPr="005B57B7" w:rsidRDefault="002F489E">
      <w:pPr>
        <w:spacing w:before="120"/>
        <w:jc w:val="center"/>
        <w:rPr>
          <w:rFonts w:ascii="Arial" w:hAnsi="Arial" w:cs="Arial"/>
          <w:b/>
          <w:bCs/>
          <w:color w:val="333399"/>
          <w:sz w:val="40"/>
          <w:szCs w:val="40"/>
          <w:lang w:val="es-ES"/>
        </w:rPr>
      </w:pPr>
      <w:r w:rsidRPr="005B57B7">
        <w:rPr>
          <w:rFonts w:ascii="Arial" w:hAnsi="Arial" w:cs="Arial"/>
          <w:b/>
          <w:bCs/>
          <w:color w:val="333399"/>
          <w:sz w:val="40"/>
          <w:szCs w:val="40"/>
          <w:lang w:val="es-ES"/>
        </w:rPr>
        <w:t>Agosto</w:t>
      </w:r>
      <w:r w:rsidR="0050047E" w:rsidRPr="005B57B7">
        <w:rPr>
          <w:rFonts w:ascii="Arial" w:hAnsi="Arial" w:cs="Arial"/>
          <w:b/>
          <w:bCs/>
          <w:color w:val="333399"/>
          <w:sz w:val="40"/>
          <w:szCs w:val="40"/>
          <w:lang w:val="es-ES"/>
        </w:rPr>
        <w:t xml:space="preserve"> 20</w:t>
      </w:r>
      <w:r w:rsidR="00F604E1" w:rsidRPr="005B57B7">
        <w:rPr>
          <w:rFonts w:ascii="Arial" w:hAnsi="Arial" w:cs="Arial"/>
          <w:b/>
          <w:bCs/>
          <w:color w:val="333399"/>
          <w:sz w:val="40"/>
          <w:szCs w:val="40"/>
          <w:lang w:val="es-ES"/>
        </w:rPr>
        <w:t>1</w:t>
      </w:r>
      <w:r w:rsidR="00632B34" w:rsidRPr="005B57B7">
        <w:rPr>
          <w:rFonts w:ascii="Arial" w:hAnsi="Arial" w:cs="Arial"/>
          <w:b/>
          <w:bCs/>
          <w:color w:val="333399"/>
          <w:sz w:val="40"/>
          <w:szCs w:val="40"/>
          <w:lang w:val="es-ES"/>
        </w:rPr>
        <w:t>5</w:t>
      </w:r>
    </w:p>
    <w:p w:rsidR="0050047E" w:rsidRPr="005B57B7" w:rsidRDefault="0050047E">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F35E16" w:rsidRPr="005B57B7" w:rsidRDefault="00F35E16">
      <w:pPr>
        <w:spacing w:before="120"/>
        <w:jc w:val="center"/>
        <w:rPr>
          <w:rFonts w:ascii="Arial" w:hAnsi="Arial" w:cs="Arial"/>
          <w:lang w:val="es-ES"/>
        </w:rPr>
      </w:pPr>
    </w:p>
    <w:p w:rsidR="0050047E" w:rsidRPr="005B57B7" w:rsidRDefault="0050047E">
      <w:pPr>
        <w:spacing w:before="120"/>
        <w:jc w:val="center"/>
        <w:rPr>
          <w:rFonts w:ascii="Arial" w:hAnsi="Arial" w:cs="Arial"/>
          <w:lang w:val="es-ES"/>
        </w:rPr>
      </w:pPr>
    </w:p>
    <w:tbl>
      <w:tblPr>
        <w:tblpPr w:leftFromText="141" w:rightFromText="141"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tblGrid>
      <w:tr w:rsidR="0050047E" w:rsidRPr="00080B2A" w:rsidTr="002F489E">
        <w:trPr>
          <w:trHeight w:val="2510"/>
        </w:trPr>
        <w:tc>
          <w:tcPr>
            <w:tcW w:w="8170" w:type="dxa"/>
            <w:shd w:val="clear" w:color="auto" w:fill="E6E6E6"/>
          </w:tcPr>
          <w:p w:rsidR="00AA446E" w:rsidRPr="005B57B7" w:rsidRDefault="0050047E" w:rsidP="00AA446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highlight w:val="lightGray"/>
                <w:lang w:val="es-ES"/>
              </w:rPr>
            </w:pPr>
            <w:r w:rsidRPr="005B57B7">
              <w:rPr>
                <w:rFonts w:ascii="Futura Bk BT" w:hAnsi="Futura Bk BT"/>
                <w:b/>
                <w:bCs/>
                <w:color w:val="000000"/>
                <w:lang w:val="es-ES"/>
              </w:rPr>
              <w:t>ADVERTENCIA SOBRE CONFIDENCIALIDAD:</w:t>
            </w:r>
            <w:r w:rsidRPr="005B57B7">
              <w:rPr>
                <w:lang w:val="es-ES"/>
              </w:rPr>
              <w:t xml:space="preserve"> </w:t>
            </w:r>
            <w:r w:rsidRPr="005B57B7">
              <w:rPr>
                <w:rFonts w:ascii="Futura Lt BT" w:hAnsi="Futura Lt BT"/>
                <w:lang w:val="es-ES"/>
              </w:rPr>
              <w:t xml:space="preserve">La información contenida en el presente documento tiene como fin la discusión interna en </w:t>
            </w:r>
            <w:r w:rsidR="00C136B7" w:rsidRPr="005B57B7">
              <w:rPr>
                <w:rFonts w:ascii="Futura Lt BT" w:hAnsi="Futura Lt BT"/>
                <w:lang w:val="es-ES"/>
              </w:rPr>
              <w:t>BANCÓLDEX</w:t>
            </w:r>
            <w:r w:rsidRPr="005B57B7">
              <w:rPr>
                <w:rFonts w:ascii="Futura Lt BT" w:hAnsi="Futura Lt BT"/>
                <w:lang w:val="es-ES"/>
              </w:rPr>
              <w:t>.  Esta información es confidencial y sólo para uso de los dir</w:t>
            </w:r>
            <w:r w:rsidR="00AA446E" w:rsidRPr="005B57B7">
              <w:rPr>
                <w:rFonts w:ascii="Futura Lt BT" w:hAnsi="Futura Lt BT"/>
                <w:lang w:val="es-ES"/>
              </w:rPr>
              <w:t>ectos destinatarios de la misma, q</w:t>
            </w:r>
            <w:r w:rsidRPr="005B57B7">
              <w:rPr>
                <w:rFonts w:ascii="Futura Lt BT" w:hAnsi="Futura Lt BT"/>
                <w:lang w:val="es-ES"/>
              </w:rPr>
              <w:t>uienes, por consiguiente</w:t>
            </w:r>
            <w:r w:rsidR="00AA446E" w:rsidRPr="005B57B7">
              <w:rPr>
                <w:rFonts w:ascii="Futura Lt BT" w:hAnsi="Futura Lt BT"/>
                <w:lang w:val="es-ES"/>
              </w:rPr>
              <w:t>,</w:t>
            </w:r>
            <w:r w:rsidRPr="005B57B7">
              <w:rPr>
                <w:rFonts w:ascii="Futura Lt BT" w:hAnsi="Futura Lt BT"/>
                <w:lang w:val="es-ES"/>
              </w:rPr>
              <w:t xml:space="preserve"> asumen, en términos de la ley y los estatutos sociales del Banco y en especial las normas referentes al desempeño de los administradores, cualquier responsabilidad por perjuicios que puedan derivarse de su uso indiscreto, descuidado o no autorizado por la ley.</w:t>
            </w:r>
            <w:r w:rsidR="00AA446E" w:rsidRPr="005B57B7">
              <w:rPr>
                <w:rFonts w:ascii="Futura Lt BT" w:hAnsi="Futura Lt BT"/>
                <w:lang w:val="es-ES"/>
              </w:rPr>
              <w:t xml:space="preserve"> </w:t>
            </w:r>
            <w:r w:rsidR="00AA446E" w:rsidRPr="005B57B7">
              <w:rPr>
                <w:lang w:val="es-ES"/>
              </w:rPr>
              <w:t xml:space="preserve"> </w:t>
            </w:r>
          </w:p>
        </w:tc>
      </w:tr>
    </w:tbl>
    <w:p w:rsidR="0050047E" w:rsidRPr="005B57B7" w:rsidRDefault="0050047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lang w:val="es-ES"/>
        </w:rPr>
      </w:pPr>
    </w:p>
    <w:p w:rsidR="002F489E" w:rsidRPr="005B57B7" w:rsidRDefault="002F489E">
      <w:pPr>
        <w:tabs>
          <w:tab w:val="left" w:pos="283"/>
          <w:tab w:val="right" w:pos="3118"/>
          <w:tab w:val="right" w:pos="4836"/>
          <w:tab w:val="right" w:pos="5975"/>
          <w:tab w:val="right" w:pos="7075"/>
          <w:tab w:val="right" w:pos="7937"/>
        </w:tabs>
        <w:autoSpaceDE w:val="0"/>
        <w:autoSpaceDN w:val="0"/>
        <w:adjustRightInd w:val="0"/>
        <w:spacing w:before="120"/>
        <w:jc w:val="both"/>
        <w:rPr>
          <w:rFonts w:ascii="Arial" w:hAnsi="Arial" w:cs="Arial"/>
          <w:b/>
          <w:bCs/>
          <w:i/>
          <w:iCs/>
          <w:color w:val="000000"/>
          <w:lang w:val="es-ES"/>
        </w:rPr>
      </w:pPr>
    </w:p>
    <w:p w:rsidR="0050047E" w:rsidRPr="005B57B7" w:rsidRDefault="0050047E">
      <w:pPr>
        <w:spacing w:before="120"/>
        <w:rPr>
          <w:rFonts w:ascii="Arial" w:hAnsi="Arial" w:cs="Arial"/>
          <w:lang w:val="es-ES"/>
        </w:rPr>
      </w:pPr>
      <w:r w:rsidRPr="005B57B7">
        <w:rPr>
          <w:rFonts w:ascii="Arial" w:hAnsi="Arial" w:cs="Arial"/>
          <w:lang w:val="es-ES"/>
        </w:rPr>
        <w:t xml:space="preserve">                       </w:t>
      </w:r>
    </w:p>
    <w:p w:rsidR="005D73E8" w:rsidRPr="005B57B7" w:rsidRDefault="0050047E" w:rsidP="005D73E8">
      <w:pPr>
        <w:pStyle w:val="BodyText"/>
        <w:jc w:val="center"/>
        <w:rPr>
          <w:sz w:val="32"/>
          <w:szCs w:val="32"/>
        </w:rPr>
      </w:pPr>
      <w:r w:rsidRPr="005B57B7">
        <w:rPr>
          <w:b/>
          <w:sz w:val="32"/>
          <w:szCs w:val="32"/>
        </w:rPr>
        <w:lastRenderedPageBreak/>
        <w:t>INDICE</w:t>
      </w:r>
      <w:bookmarkStart w:id="0" w:name="_Toc217379097"/>
      <w:bookmarkStart w:id="1" w:name="_Toc428252147"/>
      <w:bookmarkStart w:id="2" w:name="OLE_LINK5"/>
    </w:p>
    <w:sdt>
      <w:sdtPr>
        <w:rPr>
          <w:rFonts w:ascii="Arial" w:hAnsi="Arial" w:cs="Arial"/>
          <w:smallCaps w:val="0"/>
          <w:lang w:val="es-ES"/>
        </w:rPr>
        <w:id w:val="1210918859"/>
        <w:docPartObj>
          <w:docPartGallery w:val="Table of Contents"/>
          <w:docPartUnique/>
        </w:docPartObj>
      </w:sdtPr>
      <w:sdtEndPr>
        <w:rPr>
          <w:bCs/>
          <w:sz w:val="22"/>
          <w:szCs w:val="22"/>
        </w:rPr>
      </w:sdtEndPr>
      <w:sdtContent>
        <w:p w:rsidR="00834DE7" w:rsidRPr="00834DE7" w:rsidRDefault="005D73E8">
          <w:pPr>
            <w:pStyle w:val="TOC1"/>
            <w:rPr>
              <w:rFonts w:ascii="Arial" w:eastAsiaTheme="minorEastAsia" w:hAnsi="Arial" w:cs="Arial"/>
              <w:smallCaps w:val="0"/>
              <w:noProof/>
              <w:sz w:val="22"/>
              <w:szCs w:val="22"/>
            </w:rPr>
          </w:pPr>
          <w:r w:rsidRPr="00834DE7">
            <w:rPr>
              <w:rFonts w:ascii="Arial" w:hAnsi="Arial" w:cs="Arial"/>
              <w:sz w:val="22"/>
              <w:szCs w:val="22"/>
              <w:lang w:val="es-ES"/>
            </w:rPr>
            <w:fldChar w:fldCharType="begin"/>
          </w:r>
          <w:r w:rsidRPr="00834DE7">
            <w:rPr>
              <w:rFonts w:ascii="Arial" w:hAnsi="Arial" w:cs="Arial"/>
              <w:sz w:val="22"/>
              <w:szCs w:val="22"/>
              <w:lang w:val="es-ES"/>
            </w:rPr>
            <w:instrText xml:space="preserve"> TOC \o "1-3" \h \z \u </w:instrText>
          </w:r>
          <w:r w:rsidRPr="00834DE7">
            <w:rPr>
              <w:rFonts w:ascii="Arial" w:hAnsi="Arial" w:cs="Arial"/>
              <w:sz w:val="22"/>
              <w:szCs w:val="22"/>
              <w:lang w:val="es-ES"/>
            </w:rPr>
            <w:fldChar w:fldCharType="separate"/>
          </w:r>
          <w:hyperlink w:anchor="_Toc431307103" w:history="1">
            <w:r w:rsidR="00834DE7" w:rsidRPr="00834DE7">
              <w:rPr>
                <w:rStyle w:val="Hyperlink"/>
                <w:rFonts w:ascii="Arial" w:hAnsi="Arial"/>
                <w:noProof/>
                <w:lang w:val="es-ES"/>
              </w:rPr>
              <w:t>1</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Introducción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04" w:history="1">
            <w:r w:rsidR="00834DE7" w:rsidRPr="00834DE7">
              <w:rPr>
                <w:rStyle w:val="Hyperlink"/>
                <w:rFonts w:ascii="Arial" w:hAnsi="Arial"/>
                <w:noProof/>
                <w:lang w:val="es-ES"/>
              </w:rPr>
              <w:t>2</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Descripción del programa BID – BANCÓLDEX – Préstamo ####-CO.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05" w:history="1">
            <w:r w:rsidR="00834DE7" w:rsidRPr="00834DE7">
              <w:rPr>
                <w:rStyle w:val="Hyperlink"/>
                <w:rFonts w:ascii="Arial" w:hAnsi="Arial"/>
                <w:noProof/>
                <w:lang w:val="es-ES"/>
              </w:rPr>
              <w:t>3</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Características generales del cupo especial de crédito de BANCÓLDEX para financiar proyectos en tecnologías elegibles de energía renovable en las ZNIs a ser fondeado con recursos del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6" w:history="1">
            <w:r w:rsidR="00834DE7" w:rsidRPr="00834DE7">
              <w:rPr>
                <w:rStyle w:val="Hyperlink"/>
                <w:rFonts w:ascii="Arial" w:hAnsi="Arial"/>
                <w:noProof/>
                <w:kern w:val="32"/>
              </w:rPr>
              <w:t>3.1</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Beneficiarios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7" w:history="1">
            <w:r w:rsidR="00834DE7" w:rsidRPr="00834DE7">
              <w:rPr>
                <w:rStyle w:val="Hyperlink"/>
                <w:rFonts w:ascii="Arial" w:hAnsi="Arial"/>
                <w:noProof/>
                <w:kern w:val="32"/>
              </w:rPr>
              <w:t>3.2</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Tecnologías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8" w:history="1">
            <w:r w:rsidR="00834DE7" w:rsidRPr="00834DE7">
              <w:rPr>
                <w:rStyle w:val="Hyperlink"/>
                <w:rFonts w:ascii="Arial" w:hAnsi="Arial"/>
                <w:noProof/>
                <w:kern w:val="32"/>
              </w:rPr>
              <w:t>3.3</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Periodicidad amortización de capital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09" w:history="1">
            <w:r w:rsidR="00834DE7" w:rsidRPr="00834DE7">
              <w:rPr>
                <w:rStyle w:val="Hyperlink"/>
                <w:rFonts w:ascii="Arial" w:hAnsi="Arial"/>
                <w:noProof/>
                <w:kern w:val="32"/>
              </w:rPr>
              <w:t>3.4</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Pago de intereses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_Toc431307109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0" w:history="1">
            <w:r w:rsidR="00834DE7" w:rsidRPr="00834DE7">
              <w:rPr>
                <w:rStyle w:val="Hyperlink"/>
                <w:rFonts w:ascii="Arial" w:hAnsi="Arial"/>
                <w:noProof/>
                <w:kern w:val="32"/>
              </w:rPr>
              <w:t>3.5</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Plazo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1" w:history="1">
            <w:r w:rsidR="00834DE7" w:rsidRPr="00834DE7">
              <w:rPr>
                <w:rStyle w:val="Hyperlink"/>
                <w:rFonts w:ascii="Arial" w:hAnsi="Arial"/>
                <w:noProof/>
                <w:kern w:val="32"/>
              </w:rPr>
              <w:t>3.6</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Periodo de gracia a capital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2" w:history="1">
            <w:r w:rsidR="00834DE7" w:rsidRPr="00834DE7">
              <w:rPr>
                <w:rStyle w:val="Hyperlink"/>
                <w:rFonts w:ascii="Arial" w:hAnsi="Arial"/>
                <w:noProof/>
                <w:kern w:val="32"/>
              </w:rPr>
              <w:t>3.7</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Tasa de redescuento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3" w:history="1">
            <w:r w:rsidR="00834DE7" w:rsidRPr="00834DE7">
              <w:rPr>
                <w:rStyle w:val="Hyperlink"/>
                <w:rFonts w:ascii="Arial" w:hAnsi="Arial"/>
                <w:noProof/>
                <w:kern w:val="32"/>
              </w:rPr>
              <w:t>3.8</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Tasa de interés al empresario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14" w:history="1">
            <w:r w:rsidR="00834DE7" w:rsidRPr="00834DE7">
              <w:rPr>
                <w:rStyle w:val="Hyperlink"/>
                <w:rFonts w:ascii="Arial" w:hAnsi="Arial"/>
                <w:noProof/>
                <w:lang w:val="es-ES"/>
              </w:rPr>
              <w:t>4</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Régimen de Habilitación de los Entes Crediticios (instituciones Financieras Locales)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5" w:history="1">
            <w:r w:rsidR="00834DE7" w:rsidRPr="00834DE7">
              <w:rPr>
                <w:rStyle w:val="Hyperlink"/>
                <w:rFonts w:ascii="Arial" w:hAnsi="Arial"/>
                <w:noProof/>
                <w:kern w:val="32"/>
              </w:rPr>
              <w:t>4.1</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Instituciones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6" w:history="1">
            <w:r w:rsidR="00834DE7" w:rsidRPr="00834DE7">
              <w:rPr>
                <w:rStyle w:val="Hyperlink"/>
                <w:rFonts w:ascii="Arial" w:hAnsi="Arial"/>
                <w:noProof/>
                <w:kern w:val="32"/>
              </w:rPr>
              <w:t>4.2</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Riesgo de Crédito y/o Contraparte</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17" w:history="1">
            <w:r w:rsidR="00834DE7" w:rsidRPr="00834DE7">
              <w:rPr>
                <w:rStyle w:val="Hyperlink"/>
                <w:rFonts w:ascii="Arial" w:hAnsi="Arial"/>
                <w:noProof/>
                <w:kern w:val="32"/>
              </w:rPr>
              <w:t>4.3</w:t>
            </w:r>
            <w:r w:rsidR="00834DE7" w:rsidRPr="00834DE7">
              <w:rPr>
                <w:rFonts w:ascii="Arial" w:eastAsiaTheme="minorEastAsia" w:hAnsi="Arial" w:cs="Arial"/>
                <w:noProof/>
                <w:sz w:val="22"/>
                <w:szCs w:val="22"/>
              </w:rPr>
              <w:tab/>
            </w:r>
            <w:r w:rsidR="00834DE7" w:rsidRPr="00834DE7">
              <w:rPr>
                <w:rStyle w:val="Hyperlink"/>
                <w:rFonts w:ascii="Arial" w:hAnsi="Arial"/>
                <w:noProof/>
                <w:kern w:val="32"/>
              </w:rPr>
              <w:t>Responsabilidades particulares de BANCÓLDEX frente a los Entes Crediticios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18" w:history="1">
            <w:r w:rsidR="00834DE7" w:rsidRPr="00834DE7">
              <w:rPr>
                <w:rStyle w:val="Hyperlink"/>
                <w:rFonts w:ascii="Arial" w:hAnsi="Arial"/>
                <w:noProof/>
                <w:lang w:val="es-ES"/>
              </w:rPr>
              <w:t>4.3.1</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Pagaré</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19" w:history="1">
            <w:r w:rsidR="00834DE7" w:rsidRPr="00834DE7">
              <w:rPr>
                <w:rStyle w:val="Hyperlink"/>
                <w:rFonts w:ascii="Arial" w:hAnsi="Arial"/>
                <w:noProof/>
                <w:lang w:val="es-ES"/>
              </w:rPr>
              <w:t>4.3.2</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Desempeño de Entes Crediticios elegibles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_Toc431307119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0" w:history="1">
            <w:r w:rsidR="00834DE7" w:rsidRPr="00834DE7">
              <w:rPr>
                <w:rStyle w:val="Hyperlink"/>
                <w:rFonts w:ascii="Arial" w:hAnsi="Arial"/>
                <w:noProof/>
                <w:lang w:val="es-ES"/>
              </w:rPr>
              <w:t>4.3.3</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Concentración de riesgo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1" w:history="1">
            <w:r w:rsidR="00834DE7" w:rsidRPr="00834DE7">
              <w:rPr>
                <w:rStyle w:val="Hyperlink"/>
                <w:rFonts w:ascii="Arial" w:hAnsi="Arial"/>
                <w:noProof/>
                <w:lang w:val="es-ES"/>
              </w:rPr>
              <w:t>4.3.4</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Solvencia y liquidez de los Entes Crediticios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6</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22" w:history="1">
            <w:r w:rsidR="00834DE7" w:rsidRPr="00834DE7">
              <w:rPr>
                <w:rStyle w:val="Hyperlink"/>
                <w:rFonts w:ascii="Arial" w:hAnsi="Arial"/>
                <w:noProof/>
                <w:lang w:val="es-ES"/>
              </w:rPr>
              <w:t>5</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Características específicas de los sub-préstamos sujetos a financiación bajo 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3" w:history="1">
            <w:r w:rsidR="00834DE7" w:rsidRPr="00834DE7">
              <w:rPr>
                <w:rStyle w:val="Hyperlink"/>
                <w:rFonts w:ascii="Arial" w:hAnsi="Arial"/>
                <w:noProof/>
              </w:rPr>
              <w:t>5.1</w:t>
            </w:r>
            <w:r w:rsidR="00834DE7" w:rsidRPr="00834DE7">
              <w:rPr>
                <w:rFonts w:ascii="Arial" w:eastAsiaTheme="minorEastAsia" w:hAnsi="Arial" w:cs="Arial"/>
                <w:noProof/>
                <w:sz w:val="22"/>
                <w:szCs w:val="22"/>
              </w:rPr>
              <w:tab/>
            </w:r>
            <w:r w:rsidR="00834DE7" w:rsidRPr="00834DE7">
              <w:rPr>
                <w:rStyle w:val="Hyperlink"/>
                <w:rFonts w:ascii="Arial" w:hAnsi="Arial"/>
                <w:noProof/>
              </w:rPr>
              <w:t>Cobro de intereses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4" w:history="1">
            <w:r w:rsidR="00834DE7" w:rsidRPr="00834DE7">
              <w:rPr>
                <w:rStyle w:val="Hyperlink"/>
                <w:rFonts w:ascii="Arial" w:hAnsi="Arial"/>
                <w:noProof/>
              </w:rPr>
              <w:t>5.2</w:t>
            </w:r>
            <w:r w:rsidR="00834DE7" w:rsidRPr="00834DE7">
              <w:rPr>
                <w:rFonts w:ascii="Arial" w:eastAsiaTheme="minorEastAsia" w:hAnsi="Arial" w:cs="Arial"/>
                <w:noProof/>
                <w:sz w:val="22"/>
                <w:szCs w:val="22"/>
              </w:rPr>
              <w:tab/>
            </w:r>
            <w:r w:rsidR="00834DE7" w:rsidRPr="00834DE7">
              <w:rPr>
                <w:rStyle w:val="Hyperlink"/>
                <w:rFonts w:ascii="Arial" w:hAnsi="Arial"/>
                <w:noProof/>
              </w:rPr>
              <w:t>Monto de financiación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5" w:history="1">
            <w:r w:rsidR="00834DE7" w:rsidRPr="00834DE7">
              <w:rPr>
                <w:rStyle w:val="Hyperlink"/>
                <w:rFonts w:ascii="Arial" w:hAnsi="Arial"/>
                <w:noProof/>
              </w:rPr>
              <w:t>5.3</w:t>
            </w:r>
            <w:r w:rsidR="00834DE7" w:rsidRPr="00834DE7">
              <w:rPr>
                <w:rFonts w:ascii="Arial" w:eastAsiaTheme="minorEastAsia" w:hAnsi="Arial" w:cs="Arial"/>
                <w:noProof/>
                <w:sz w:val="22"/>
                <w:szCs w:val="22"/>
              </w:rPr>
              <w:tab/>
            </w:r>
            <w:r w:rsidR="00834DE7" w:rsidRPr="00834DE7">
              <w:rPr>
                <w:rStyle w:val="Hyperlink"/>
                <w:rFonts w:ascii="Arial" w:hAnsi="Arial"/>
                <w:noProof/>
              </w:rPr>
              <w:t>Seguimiento de Aspectos Socio-Ambientales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6" w:history="1">
            <w:r w:rsidR="00834DE7" w:rsidRPr="00834DE7">
              <w:rPr>
                <w:rStyle w:val="Hyperlink"/>
                <w:rFonts w:ascii="Arial" w:hAnsi="Arial"/>
                <w:noProof/>
              </w:rPr>
              <w:t>5.4</w:t>
            </w:r>
            <w:r w:rsidR="00834DE7" w:rsidRPr="00834DE7">
              <w:rPr>
                <w:rFonts w:ascii="Arial" w:eastAsiaTheme="minorEastAsia" w:hAnsi="Arial" w:cs="Arial"/>
                <w:noProof/>
                <w:sz w:val="22"/>
                <w:szCs w:val="22"/>
              </w:rPr>
              <w:tab/>
            </w:r>
            <w:r w:rsidR="00834DE7" w:rsidRPr="00834DE7">
              <w:rPr>
                <w:rStyle w:val="Hyperlink"/>
                <w:rFonts w:ascii="Arial" w:hAnsi="Arial"/>
                <w:noProof/>
              </w:rPr>
              <w:t>Limitación de destinación de utilización de los recursos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7" w:history="1">
            <w:r w:rsidR="00834DE7" w:rsidRPr="00834DE7">
              <w:rPr>
                <w:rStyle w:val="Hyperlink"/>
                <w:rFonts w:ascii="Arial" w:hAnsi="Arial"/>
                <w:noProof/>
              </w:rPr>
              <w:t>5.5</w:t>
            </w:r>
            <w:r w:rsidR="00834DE7" w:rsidRPr="00834DE7">
              <w:rPr>
                <w:rFonts w:ascii="Arial" w:eastAsiaTheme="minorEastAsia" w:hAnsi="Arial" w:cs="Arial"/>
                <w:noProof/>
                <w:sz w:val="22"/>
                <w:szCs w:val="22"/>
              </w:rPr>
              <w:tab/>
            </w:r>
            <w:r w:rsidR="00834DE7" w:rsidRPr="00834DE7">
              <w:rPr>
                <w:rStyle w:val="Hyperlink"/>
                <w:rFonts w:ascii="Arial" w:hAnsi="Arial"/>
                <w:noProof/>
              </w:rPr>
              <w:t>Financiación de importaciones de Países Miembros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28" w:history="1">
            <w:r w:rsidR="00834DE7" w:rsidRPr="00834DE7">
              <w:rPr>
                <w:rStyle w:val="Hyperlink"/>
                <w:rFonts w:ascii="Arial" w:hAnsi="Arial"/>
                <w:noProof/>
              </w:rPr>
              <w:t>5.6</w:t>
            </w:r>
            <w:r w:rsidR="00834DE7" w:rsidRPr="00834DE7">
              <w:rPr>
                <w:rFonts w:ascii="Arial" w:eastAsiaTheme="minorEastAsia" w:hAnsi="Arial" w:cs="Arial"/>
                <w:noProof/>
                <w:sz w:val="22"/>
                <w:szCs w:val="22"/>
              </w:rPr>
              <w:tab/>
            </w:r>
            <w:r w:rsidR="00834DE7" w:rsidRPr="00834DE7">
              <w:rPr>
                <w:rStyle w:val="Hyperlink"/>
                <w:rFonts w:ascii="Arial" w:hAnsi="Arial"/>
                <w:noProof/>
              </w:rPr>
              <w:t>Otras condiciones de los sub-préstamos con financiación del Programa</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29" w:history="1">
            <w:r w:rsidR="00834DE7" w:rsidRPr="00834DE7">
              <w:rPr>
                <w:rStyle w:val="Hyperlink"/>
                <w:rFonts w:ascii="Arial" w:hAnsi="Arial"/>
                <w:noProof/>
                <w:lang w:val="es-ES"/>
              </w:rPr>
              <w:t>5.6.1</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Utilización de los créditos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_Toc431307129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0" w:history="1">
            <w:r w:rsidR="00834DE7" w:rsidRPr="00834DE7">
              <w:rPr>
                <w:rStyle w:val="Hyperlink"/>
                <w:rFonts w:ascii="Arial" w:hAnsi="Arial"/>
                <w:noProof/>
                <w:lang w:val="es-ES"/>
              </w:rPr>
              <w:t>5.6.2</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El derecho de inspección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1" w:history="1">
            <w:r w:rsidR="00834DE7" w:rsidRPr="00834DE7">
              <w:rPr>
                <w:rStyle w:val="Hyperlink"/>
                <w:rFonts w:ascii="Arial" w:hAnsi="Arial"/>
                <w:noProof/>
                <w:lang w:val="es-ES"/>
              </w:rPr>
              <w:t>5.6.3</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La obligación de entrega de información</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2" w:history="1">
            <w:r w:rsidR="00834DE7" w:rsidRPr="00834DE7">
              <w:rPr>
                <w:rStyle w:val="Hyperlink"/>
                <w:rFonts w:ascii="Arial" w:hAnsi="Arial"/>
                <w:noProof/>
                <w:lang w:val="es-ES"/>
              </w:rPr>
              <w:t>5.6.4</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El derecho de suspender desembolsos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8</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3" w:history="1">
            <w:r w:rsidR="00834DE7" w:rsidRPr="00834DE7">
              <w:rPr>
                <w:rStyle w:val="Hyperlink"/>
                <w:rFonts w:ascii="Arial" w:hAnsi="Arial"/>
                <w:noProof/>
                <w:lang w:val="es-ES"/>
              </w:rPr>
              <w:t>5.6.5</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Garantías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_Toc431307133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4" w:history="1">
            <w:r w:rsidR="00834DE7" w:rsidRPr="00834DE7">
              <w:rPr>
                <w:rStyle w:val="Hyperlink"/>
                <w:rFonts w:ascii="Arial" w:hAnsi="Arial"/>
                <w:noProof/>
                <w:lang w:val="es-ES"/>
              </w:rPr>
              <w:t>5.6.6</w:t>
            </w:r>
            <w:r w:rsidR="00834DE7" w:rsidRPr="00834DE7">
              <w:rPr>
                <w:rFonts w:ascii="Arial" w:eastAsiaTheme="minorEastAsia" w:hAnsi="Arial" w:cs="Arial"/>
                <w:noProof/>
                <w:sz w:val="22"/>
                <w:szCs w:val="22"/>
              </w:rPr>
              <w:tab/>
            </w:r>
            <w:r w:rsidR="00834DE7" w:rsidRPr="00834DE7">
              <w:rPr>
                <w:rStyle w:val="Hyperlink"/>
                <w:rFonts w:ascii="Arial" w:hAnsi="Arial"/>
                <w:noProof/>
                <w:lang w:val="es-ES"/>
              </w:rPr>
              <w:t>Cesión de los sub-préstamos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_Toc431307134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1"/>
            <w:rPr>
              <w:rFonts w:ascii="Arial" w:eastAsiaTheme="minorEastAsia" w:hAnsi="Arial" w:cs="Arial"/>
              <w:smallCaps w:val="0"/>
              <w:noProof/>
              <w:sz w:val="22"/>
              <w:szCs w:val="22"/>
            </w:rPr>
          </w:pPr>
          <w:hyperlink w:anchor="_Toc431307135" w:history="1">
            <w:r w:rsidR="00834DE7" w:rsidRPr="00834DE7">
              <w:rPr>
                <w:rStyle w:val="Hyperlink"/>
                <w:rFonts w:ascii="Arial" w:hAnsi="Arial"/>
                <w:noProof/>
                <w:lang w:val="es-ES"/>
              </w:rPr>
              <w:t>6</w:t>
            </w:r>
            <w:r w:rsidR="00834DE7" w:rsidRPr="00834DE7">
              <w:rPr>
                <w:rFonts w:ascii="Arial" w:eastAsiaTheme="minorEastAsia" w:hAnsi="Arial" w:cs="Arial"/>
                <w:smallCaps w:val="0"/>
                <w:noProof/>
                <w:sz w:val="22"/>
                <w:szCs w:val="22"/>
              </w:rPr>
              <w:tab/>
            </w:r>
            <w:r w:rsidR="00834DE7" w:rsidRPr="00834DE7">
              <w:rPr>
                <w:rStyle w:val="Hyperlink"/>
                <w:rFonts w:ascii="Arial" w:hAnsi="Arial"/>
                <w:noProof/>
                <w:lang w:val="es-ES"/>
              </w:rPr>
              <w:t>Modificación de disposiciones legales y de este Reglamento de Crédito.</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_Toc431307135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9</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6" w:history="1">
            <w:r w:rsidR="00834DE7" w:rsidRPr="00834DE7">
              <w:rPr>
                <w:rStyle w:val="Hyperlink"/>
                <w:rFonts w:ascii="Arial" w:hAnsi="Arial"/>
                <w:noProof/>
                <w:lang w:val="es-ES"/>
              </w:rPr>
              <w:t>ANEXO 1 – Estrategia de gestión ambiental y social</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_Toc431307136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7" w:history="1">
            <w:r w:rsidR="00834DE7" w:rsidRPr="00834DE7">
              <w:rPr>
                <w:rStyle w:val="Hyperlink"/>
                <w:rFonts w:ascii="Arial" w:hAnsi="Arial"/>
                <w:noProof/>
                <w:lang w:val="es-ES_tradnl"/>
              </w:rPr>
              <w:t>ANEXO 2 - Lista de Actividades Excluidas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_Toc431307137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5</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8" w:history="1">
            <w:r w:rsidR="00834DE7" w:rsidRPr="00834DE7">
              <w:rPr>
                <w:rStyle w:val="Hyperlink"/>
                <w:rFonts w:ascii="Arial" w:hAnsi="Arial"/>
                <w:noProof/>
                <w:lang w:val="es-ES_tradnl"/>
              </w:rPr>
              <w:t>ANEXO 3 - Áreas de alto valor de conservación en Colombia (exclusión de sub-proyectos dentro de estas áreas)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_Toc431307138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7</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39" w:history="1">
            <w:r w:rsidR="00834DE7" w:rsidRPr="00834DE7">
              <w:rPr>
                <w:rStyle w:val="Hyperlink"/>
                <w:rFonts w:ascii="Arial" w:hAnsi="Arial"/>
                <w:noProof/>
                <w:lang w:val="es-ES"/>
              </w:rPr>
              <w:t xml:space="preserve">ANEXO 4 - </w:t>
            </w:r>
            <w:r w:rsidR="00834DE7" w:rsidRPr="00834DE7">
              <w:rPr>
                <w:rStyle w:val="Hyperlink"/>
                <w:rFonts w:ascii="Arial" w:hAnsi="Arial"/>
                <w:noProof/>
                <w:lang w:val="es-ES_tradnl"/>
              </w:rPr>
              <w:t>Legislación colombiana - Permisos ambientales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_Toc431307139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40" w:history="1">
            <w:r w:rsidR="00834DE7" w:rsidRPr="00834DE7">
              <w:rPr>
                <w:rStyle w:val="Hyperlink"/>
                <w:rFonts w:ascii="Arial" w:hAnsi="Arial"/>
                <w:b/>
                <w:noProof/>
                <w:lang w:val="es-ES_tradnl"/>
              </w:rPr>
              <w:t>1. Permisos aplicables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_Toc431307140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1</w:t>
            </w:r>
            <w:r w:rsidR="00834DE7" w:rsidRPr="00834DE7">
              <w:rPr>
                <w:rFonts w:ascii="Arial" w:hAnsi="Arial" w:cs="Arial"/>
                <w:noProof/>
                <w:webHidden/>
              </w:rPr>
              <w:fldChar w:fldCharType="end"/>
            </w:r>
          </w:hyperlink>
        </w:p>
        <w:p w:rsidR="00834DE7" w:rsidRPr="00834DE7" w:rsidRDefault="00136E27">
          <w:pPr>
            <w:pStyle w:val="TOC2"/>
            <w:rPr>
              <w:rFonts w:ascii="Arial" w:eastAsiaTheme="minorEastAsia" w:hAnsi="Arial" w:cs="Arial"/>
              <w:noProof/>
              <w:sz w:val="22"/>
              <w:szCs w:val="22"/>
            </w:rPr>
          </w:pPr>
          <w:hyperlink w:anchor="_Toc431307141" w:history="1">
            <w:r w:rsidR="00834DE7" w:rsidRPr="00834DE7">
              <w:rPr>
                <w:rStyle w:val="Hyperlink"/>
                <w:rFonts w:ascii="Arial" w:eastAsia="MS Mincho" w:hAnsi="Arial"/>
                <w:noProof/>
                <w:lang w:val="es-ES_tradnl"/>
              </w:rPr>
              <w:t>Decreto 1220/2005: http://www.ideam.gov.co/documents/24024/36843/Decreto_1220+de+2005.pdf/9127b232-8215-46aa-8793-c0d3ec21b076</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_Toc431307141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3</w:t>
            </w:r>
            <w:r w:rsidR="00834DE7" w:rsidRPr="00834DE7">
              <w:rPr>
                <w:rFonts w:ascii="Arial" w:hAnsi="Arial" w:cs="Arial"/>
                <w:noProof/>
                <w:webHidden/>
              </w:rPr>
              <w:fldChar w:fldCharType="end"/>
            </w:r>
          </w:hyperlink>
        </w:p>
        <w:p w:rsidR="00834DE7" w:rsidRPr="00834DE7" w:rsidRDefault="00136E27">
          <w:pPr>
            <w:pStyle w:val="TOC3"/>
            <w:rPr>
              <w:rFonts w:ascii="Arial" w:eastAsiaTheme="minorEastAsia" w:hAnsi="Arial" w:cs="Arial"/>
              <w:noProof/>
              <w:sz w:val="22"/>
              <w:szCs w:val="22"/>
            </w:rPr>
          </w:pPr>
          <w:hyperlink w:anchor="_Toc431307142" w:history="1">
            <w:r w:rsidR="00834DE7" w:rsidRPr="00834DE7">
              <w:rPr>
                <w:rStyle w:val="Hyperlink"/>
                <w:rFonts w:ascii="Arial" w:hAnsi="Arial"/>
                <w:noProof/>
                <w:lang w:val="es-ES"/>
              </w:rPr>
              <w:t>ANEXO 5 - Lista de Países Miembros</w:t>
            </w:r>
            <w:r w:rsidR="00834DE7" w:rsidRPr="00834DE7">
              <w:rPr>
                <w:rFonts w:ascii="Arial" w:hAnsi="Arial" w:cs="Arial"/>
                <w:noProof/>
                <w:webHidden/>
              </w:rPr>
              <w:tab/>
            </w:r>
            <w:r w:rsidR="00834DE7" w:rsidRPr="00834DE7">
              <w:rPr>
                <w:rFonts w:ascii="Arial" w:hAnsi="Arial" w:cs="Arial"/>
                <w:noProof/>
                <w:webHidden/>
              </w:rPr>
              <w:fldChar w:fldCharType="begin"/>
            </w:r>
            <w:r w:rsidR="00834DE7" w:rsidRPr="00834DE7">
              <w:rPr>
                <w:rFonts w:ascii="Arial" w:hAnsi="Arial" w:cs="Arial"/>
                <w:noProof/>
                <w:webHidden/>
              </w:rPr>
              <w:instrText xml:space="preserve"> PAGEREF _Toc431307142 \h </w:instrText>
            </w:r>
            <w:r w:rsidR="00834DE7" w:rsidRPr="00834DE7">
              <w:rPr>
                <w:rFonts w:ascii="Arial" w:hAnsi="Arial" w:cs="Arial"/>
                <w:noProof/>
                <w:webHidden/>
              </w:rPr>
            </w:r>
            <w:r w:rsidR="00834DE7" w:rsidRPr="00834DE7">
              <w:rPr>
                <w:rFonts w:ascii="Arial" w:hAnsi="Arial" w:cs="Arial"/>
                <w:noProof/>
                <w:webHidden/>
              </w:rPr>
              <w:fldChar w:fldCharType="separate"/>
            </w:r>
            <w:r w:rsidR="00834DE7" w:rsidRPr="00834DE7">
              <w:rPr>
                <w:rFonts w:ascii="Arial" w:hAnsi="Arial" w:cs="Arial"/>
                <w:noProof/>
                <w:webHidden/>
              </w:rPr>
              <w:t>4</w:t>
            </w:r>
            <w:r w:rsidR="00834DE7" w:rsidRPr="00834DE7">
              <w:rPr>
                <w:rFonts w:ascii="Arial" w:hAnsi="Arial" w:cs="Arial"/>
                <w:noProof/>
                <w:webHidden/>
              </w:rPr>
              <w:fldChar w:fldCharType="end"/>
            </w:r>
          </w:hyperlink>
        </w:p>
        <w:p w:rsidR="005D73E8" w:rsidRPr="00376DFF" w:rsidRDefault="005D73E8" w:rsidP="005D73E8">
          <w:pPr>
            <w:spacing w:after="120"/>
            <w:rPr>
              <w:rFonts w:ascii="Arial" w:hAnsi="Arial" w:cs="Arial"/>
              <w:sz w:val="22"/>
              <w:szCs w:val="22"/>
              <w:lang w:val="es-ES"/>
            </w:rPr>
          </w:pPr>
          <w:r w:rsidRPr="00834DE7">
            <w:rPr>
              <w:rFonts w:ascii="Arial" w:hAnsi="Arial" w:cs="Arial"/>
              <w:bCs/>
              <w:sz w:val="22"/>
              <w:szCs w:val="22"/>
              <w:lang w:val="es-ES"/>
            </w:rPr>
            <w:fldChar w:fldCharType="end"/>
          </w:r>
        </w:p>
      </w:sdtContent>
    </w:sdt>
    <w:p w:rsidR="005D73E8" w:rsidRPr="005B57B7" w:rsidRDefault="005D73E8" w:rsidP="005D73E8">
      <w:pPr>
        <w:spacing w:after="120"/>
        <w:rPr>
          <w:rFonts w:ascii="Arial" w:hAnsi="Arial" w:cs="Arial"/>
          <w:b/>
          <w:sz w:val="32"/>
          <w:szCs w:val="32"/>
          <w:lang w:val="es-ES"/>
        </w:rPr>
      </w:pPr>
    </w:p>
    <w:p w:rsidR="0050047E" w:rsidRPr="005B57B7" w:rsidRDefault="005D73E8" w:rsidP="005D73E8">
      <w:pPr>
        <w:jc w:val="center"/>
        <w:rPr>
          <w:rFonts w:ascii="Arial" w:hAnsi="Arial" w:cs="Arial"/>
          <w:b/>
          <w:sz w:val="32"/>
          <w:szCs w:val="32"/>
          <w:lang w:val="es-ES"/>
        </w:rPr>
      </w:pPr>
      <w:r w:rsidRPr="005B57B7">
        <w:rPr>
          <w:rFonts w:ascii="Arial" w:hAnsi="Arial" w:cs="Arial"/>
          <w:b/>
          <w:sz w:val="32"/>
          <w:szCs w:val="32"/>
          <w:lang w:val="es-ES"/>
        </w:rPr>
        <w:br w:type="page"/>
      </w:r>
      <w:r w:rsidR="00C8640D" w:rsidRPr="005B57B7">
        <w:rPr>
          <w:rFonts w:ascii="Arial" w:hAnsi="Arial" w:cs="Arial"/>
          <w:b/>
          <w:sz w:val="32"/>
          <w:szCs w:val="32"/>
          <w:lang w:val="es-ES"/>
        </w:rPr>
        <w:lastRenderedPageBreak/>
        <w:t>R</w:t>
      </w:r>
      <w:r w:rsidR="0050047E" w:rsidRPr="005B57B7">
        <w:rPr>
          <w:rFonts w:ascii="Arial" w:hAnsi="Arial" w:cs="Arial"/>
          <w:b/>
          <w:sz w:val="32"/>
          <w:szCs w:val="32"/>
          <w:lang w:val="es-ES"/>
        </w:rPr>
        <w:t>EGLAMENTO DE CRÉDITO</w:t>
      </w:r>
      <w:bookmarkEnd w:id="0"/>
      <w:bookmarkEnd w:id="1"/>
    </w:p>
    <w:p w:rsidR="0050047E" w:rsidRPr="005B57B7" w:rsidRDefault="0050047E">
      <w:pPr>
        <w:spacing w:before="120"/>
        <w:jc w:val="both"/>
        <w:rPr>
          <w:rFonts w:ascii="Arial" w:hAnsi="Arial" w:cs="Arial"/>
          <w:b/>
          <w:sz w:val="32"/>
          <w:szCs w:val="32"/>
          <w:lang w:val="es-ES"/>
        </w:rPr>
      </w:pPr>
    </w:p>
    <w:p w:rsidR="0050047E" w:rsidRPr="005B57B7" w:rsidRDefault="0050047E" w:rsidP="00712762">
      <w:pPr>
        <w:pStyle w:val="Heading1"/>
        <w:rPr>
          <w:lang w:val="es-ES"/>
        </w:rPr>
      </w:pPr>
      <w:bookmarkStart w:id="3" w:name="_Toc428252148"/>
      <w:bookmarkStart w:id="4" w:name="_Toc431307103"/>
      <w:bookmarkStart w:id="5" w:name="_Toc217379098"/>
      <w:r w:rsidRPr="005B57B7">
        <w:rPr>
          <w:sz w:val="28"/>
          <w:lang w:val="es-ES"/>
        </w:rPr>
        <w:t>Introducción</w:t>
      </w:r>
      <w:bookmarkEnd w:id="3"/>
      <w:bookmarkEnd w:id="4"/>
    </w:p>
    <w:bookmarkEnd w:id="5"/>
    <w:p w:rsidR="0050047E" w:rsidRPr="00834DE7" w:rsidRDefault="0050047E" w:rsidP="005D73E8">
      <w:pPr>
        <w:jc w:val="both"/>
        <w:rPr>
          <w:rFonts w:ascii="Arial" w:hAnsi="Arial" w:cs="Arial"/>
          <w:sz w:val="22"/>
          <w:szCs w:val="22"/>
          <w:lang w:val="es-ES"/>
        </w:rPr>
      </w:pPr>
      <w:r w:rsidRPr="005B57B7">
        <w:rPr>
          <w:rFonts w:ascii="Arial" w:hAnsi="Arial" w:cs="Arial"/>
          <w:sz w:val="22"/>
          <w:szCs w:val="22"/>
          <w:lang w:val="es-ES"/>
        </w:rPr>
        <w:t xml:space="preserve">Este documento </w:t>
      </w:r>
      <w:r w:rsidRPr="00834DE7">
        <w:rPr>
          <w:rFonts w:ascii="Arial" w:hAnsi="Arial" w:cs="Arial"/>
          <w:sz w:val="22"/>
          <w:szCs w:val="22"/>
          <w:lang w:val="es-ES"/>
        </w:rPr>
        <w:t xml:space="preserve">presenta el reglamento de crédito del programa BID -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por USD </w:t>
      </w:r>
      <w:r w:rsidR="002F489E" w:rsidRPr="00834DE7">
        <w:rPr>
          <w:rFonts w:ascii="Arial" w:hAnsi="Arial" w:cs="Arial"/>
          <w:sz w:val="22"/>
          <w:szCs w:val="22"/>
          <w:lang w:val="es-ES"/>
        </w:rPr>
        <w:t>9.625</w:t>
      </w:r>
      <w:r w:rsidR="00632B34" w:rsidRPr="00834DE7">
        <w:rPr>
          <w:rFonts w:ascii="Arial" w:hAnsi="Arial" w:cs="Arial"/>
          <w:sz w:val="22"/>
          <w:szCs w:val="22"/>
          <w:lang w:val="es-ES"/>
        </w:rPr>
        <w:t xml:space="preserve"> </w:t>
      </w:r>
      <w:r w:rsidR="002F489E" w:rsidRPr="00834DE7">
        <w:rPr>
          <w:rFonts w:ascii="Arial" w:hAnsi="Arial" w:cs="Arial"/>
          <w:sz w:val="22"/>
          <w:szCs w:val="22"/>
          <w:lang w:val="es-ES"/>
        </w:rPr>
        <w:t xml:space="preserve">millones de dólares </w:t>
      </w:r>
      <w:r w:rsidRPr="00834DE7">
        <w:rPr>
          <w:rFonts w:ascii="Arial" w:hAnsi="Arial" w:cs="Arial"/>
          <w:sz w:val="22"/>
          <w:szCs w:val="22"/>
          <w:lang w:val="es-ES"/>
        </w:rPr>
        <w:t xml:space="preserve">de acuerdo con el préstamo </w:t>
      </w:r>
      <w:r w:rsidR="002F489E" w:rsidRPr="00834DE7">
        <w:rPr>
          <w:rFonts w:ascii="Arial" w:hAnsi="Arial" w:cs="Arial"/>
          <w:sz w:val="22"/>
          <w:szCs w:val="22"/>
          <w:lang w:val="es-ES"/>
        </w:rPr>
        <w:t>####</w:t>
      </w:r>
      <w:r w:rsidRPr="00834DE7">
        <w:rPr>
          <w:rFonts w:ascii="Arial" w:hAnsi="Arial" w:cs="Arial"/>
          <w:sz w:val="22"/>
          <w:szCs w:val="22"/>
          <w:lang w:val="es-ES"/>
        </w:rPr>
        <w:t xml:space="preserve">-CO. </w:t>
      </w:r>
    </w:p>
    <w:p w:rsidR="00D6151F" w:rsidRPr="00834DE7" w:rsidRDefault="00D6151F" w:rsidP="005D73E8">
      <w:pPr>
        <w:jc w:val="both"/>
        <w:rPr>
          <w:rFonts w:ascii="Arial" w:hAnsi="Arial" w:cs="Arial"/>
          <w:sz w:val="22"/>
          <w:szCs w:val="22"/>
          <w:lang w:val="es-ES"/>
        </w:rPr>
      </w:pPr>
    </w:p>
    <w:p w:rsidR="0050047E" w:rsidRPr="00834DE7" w:rsidRDefault="0050047E" w:rsidP="005D73E8">
      <w:pPr>
        <w:jc w:val="both"/>
        <w:rPr>
          <w:rFonts w:ascii="Arial" w:hAnsi="Arial" w:cs="Arial"/>
          <w:sz w:val="22"/>
          <w:szCs w:val="22"/>
          <w:lang w:val="es-ES"/>
        </w:rPr>
      </w:pPr>
      <w:r w:rsidRPr="00834DE7">
        <w:rPr>
          <w:rFonts w:ascii="Arial" w:hAnsi="Arial" w:cs="Arial"/>
          <w:sz w:val="22"/>
          <w:szCs w:val="22"/>
          <w:lang w:val="es-ES"/>
        </w:rPr>
        <w:t xml:space="preserve">El reglamento de crédito se divide en tres secciones. En la primera sección  se hace una  descripción del programa, que incluye las generalidades respecto al préstamo </w:t>
      </w:r>
      <w:r w:rsidR="002F489E" w:rsidRPr="00834DE7">
        <w:rPr>
          <w:rFonts w:ascii="Arial" w:hAnsi="Arial" w:cs="Arial"/>
          <w:sz w:val="22"/>
          <w:szCs w:val="22"/>
          <w:lang w:val="es-ES"/>
        </w:rPr>
        <w:t>###</w:t>
      </w:r>
      <w:r w:rsidRPr="00834DE7">
        <w:rPr>
          <w:rFonts w:ascii="Arial" w:hAnsi="Arial" w:cs="Arial"/>
          <w:sz w:val="22"/>
          <w:szCs w:val="22"/>
          <w:lang w:val="es-ES"/>
        </w:rPr>
        <w:t>-CO; en la segunda sección se describen las características generales de</w:t>
      </w:r>
      <w:r w:rsidR="00632B34" w:rsidRPr="00834DE7">
        <w:rPr>
          <w:rFonts w:ascii="Arial" w:hAnsi="Arial" w:cs="Arial"/>
          <w:sz w:val="22"/>
          <w:szCs w:val="22"/>
          <w:lang w:val="es-ES"/>
        </w:rPr>
        <w:t xml:space="preserve">l cupo especial de </w:t>
      </w:r>
      <w:r w:rsidRPr="00834DE7">
        <w:rPr>
          <w:rFonts w:ascii="Arial" w:hAnsi="Arial" w:cs="Arial"/>
          <w:sz w:val="22"/>
          <w:szCs w:val="22"/>
          <w:lang w:val="es-ES"/>
        </w:rPr>
        <w:t xml:space="preserve">crédito de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w:t>
      </w:r>
      <w:r w:rsidR="00632B34" w:rsidRPr="00834DE7">
        <w:rPr>
          <w:rFonts w:ascii="Arial" w:hAnsi="Arial" w:cs="Arial"/>
          <w:sz w:val="22"/>
          <w:szCs w:val="22"/>
          <w:lang w:val="es-ES"/>
        </w:rPr>
        <w:t xml:space="preserve">para financiar proyectos de </w:t>
      </w:r>
      <w:r w:rsidR="002F489E" w:rsidRPr="00834DE7">
        <w:rPr>
          <w:rFonts w:ascii="Arial" w:hAnsi="Arial" w:cs="Arial"/>
          <w:sz w:val="22"/>
          <w:szCs w:val="22"/>
          <w:lang w:val="es-ES"/>
        </w:rPr>
        <w:t>energía renovables en las Zonas no Interconectadas (ZNI) de Colombia</w:t>
      </w:r>
      <w:r w:rsidRPr="00834DE7">
        <w:rPr>
          <w:rFonts w:ascii="Arial" w:hAnsi="Arial" w:cs="Arial"/>
          <w:sz w:val="22"/>
          <w:szCs w:val="22"/>
          <w:lang w:val="es-ES"/>
        </w:rPr>
        <w:t xml:space="preserve">; y en la tercera sección se encuentran las características específicas de los proyectos sujetos a la financiación del </w:t>
      </w:r>
      <w:r w:rsidR="00756DE9" w:rsidRPr="00834DE7">
        <w:rPr>
          <w:rFonts w:ascii="Arial" w:hAnsi="Arial" w:cs="Arial"/>
          <w:sz w:val="22"/>
          <w:szCs w:val="22"/>
          <w:lang w:val="es-ES"/>
        </w:rPr>
        <w:t xml:space="preserve">Programa </w:t>
      </w:r>
      <w:r w:rsidRPr="00834DE7">
        <w:rPr>
          <w:rFonts w:ascii="Arial" w:hAnsi="Arial" w:cs="Arial"/>
          <w:sz w:val="22"/>
          <w:szCs w:val="22"/>
          <w:lang w:val="es-ES"/>
        </w:rPr>
        <w:t>BID</w:t>
      </w:r>
      <w:r w:rsidR="00756DE9" w:rsidRPr="00834DE7">
        <w:rPr>
          <w:rFonts w:ascii="Arial" w:hAnsi="Arial" w:cs="Arial"/>
          <w:sz w:val="22"/>
          <w:szCs w:val="22"/>
          <w:lang w:val="es-ES"/>
        </w:rPr>
        <w:t xml:space="preserve"> - </w:t>
      </w:r>
      <w:r w:rsidR="00C136B7" w:rsidRPr="00834DE7">
        <w:rPr>
          <w:rFonts w:ascii="Arial" w:hAnsi="Arial" w:cs="Arial"/>
          <w:sz w:val="22"/>
          <w:szCs w:val="22"/>
          <w:lang w:val="es-ES"/>
        </w:rPr>
        <w:t>BANCÓLDEX</w:t>
      </w:r>
      <w:r w:rsidRPr="00834DE7">
        <w:rPr>
          <w:rFonts w:ascii="Arial" w:hAnsi="Arial" w:cs="Arial"/>
          <w:sz w:val="22"/>
          <w:szCs w:val="22"/>
          <w:lang w:val="es-ES"/>
        </w:rPr>
        <w:t>.</w:t>
      </w:r>
    </w:p>
    <w:p w:rsidR="00D6151F" w:rsidRPr="00834DE7" w:rsidRDefault="0050047E" w:rsidP="00D6151F">
      <w:pPr>
        <w:pStyle w:val="Heading1"/>
        <w:rPr>
          <w:sz w:val="28"/>
          <w:lang w:val="es-ES"/>
        </w:rPr>
      </w:pPr>
      <w:bookmarkStart w:id="6" w:name="_Toc428252149"/>
      <w:bookmarkStart w:id="7" w:name="_Toc431307104"/>
      <w:r w:rsidRPr="00834DE7">
        <w:rPr>
          <w:sz w:val="28"/>
          <w:lang w:val="es-ES"/>
        </w:rPr>
        <w:t xml:space="preserve">Descripción del programa BID – </w:t>
      </w:r>
      <w:r w:rsidR="00C136B7" w:rsidRPr="00834DE7">
        <w:rPr>
          <w:sz w:val="28"/>
          <w:lang w:val="es-ES"/>
        </w:rPr>
        <w:t>BANCÓLDEX</w:t>
      </w:r>
      <w:r w:rsidRPr="00834DE7">
        <w:rPr>
          <w:sz w:val="28"/>
          <w:lang w:val="es-ES"/>
        </w:rPr>
        <w:t xml:space="preserve"> – </w:t>
      </w:r>
      <w:r w:rsidR="00136E27">
        <w:rPr>
          <w:sz w:val="28"/>
          <w:lang w:val="es-ES"/>
        </w:rPr>
        <w:t>Proyecto CO-L1161</w:t>
      </w:r>
      <w:bookmarkStart w:id="8" w:name="_GoBack"/>
      <w:bookmarkEnd w:id="8"/>
      <w:r w:rsidRPr="00834DE7">
        <w:rPr>
          <w:sz w:val="28"/>
          <w:lang w:val="es-ES"/>
        </w:rPr>
        <w:t>.</w:t>
      </w:r>
      <w:bookmarkEnd w:id="6"/>
      <w:bookmarkEnd w:id="7"/>
    </w:p>
    <w:p w:rsidR="0050047E" w:rsidRPr="005B57B7" w:rsidRDefault="0050047E" w:rsidP="00D6151F">
      <w:pPr>
        <w:rPr>
          <w:rFonts w:ascii="Arial" w:hAnsi="Arial" w:cs="Arial"/>
          <w:sz w:val="22"/>
          <w:szCs w:val="22"/>
          <w:lang w:val="es-ES"/>
        </w:rPr>
      </w:pPr>
      <w:r w:rsidRPr="00834DE7">
        <w:rPr>
          <w:rFonts w:ascii="Arial" w:hAnsi="Arial" w:cs="Arial"/>
          <w:sz w:val="22"/>
          <w:szCs w:val="22"/>
          <w:lang w:val="es-ES"/>
        </w:rPr>
        <w:t xml:space="preserve">Este programa consta de un único componente de inversión el cual está a cargo de </w:t>
      </w:r>
      <w:r w:rsidR="00C136B7" w:rsidRPr="00834DE7">
        <w:rPr>
          <w:rFonts w:ascii="Arial" w:hAnsi="Arial" w:cs="Arial"/>
          <w:sz w:val="22"/>
          <w:szCs w:val="22"/>
          <w:lang w:val="es-ES"/>
        </w:rPr>
        <w:t>BANCÓLDEX</w:t>
      </w:r>
      <w:r w:rsidRPr="00834DE7">
        <w:rPr>
          <w:rFonts w:ascii="Arial" w:hAnsi="Arial" w:cs="Arial"/>
          <w:sz w:val="22"/>
          <w:szCs w:val="22"/>
          <w:lang w:val="es-ES"/>
        </w:rPr>
        <w:t xml:space="preserve"> y del BID, de acuerdo con el cuadro anexo.</w:t>
      </w:r>
    </w:p>
    <w:p w:rsidR="0050047E" w:rsidRPr="005B57B7" w:rsidRDefault="0050047E">
      <w:pPr>
        <w:spacing w:before="120"/>
        <w:jc w:val="both"/>
        <w:rPr>
          <w:rFonts w:ascii="Arial" w:hAnsi="Arial" w:cs="Arial"/>
          <w:b/>
          <w:sz w:val="22"/>
          <w:szCs w:val="22"/>
          <w:u w:val="single"/>
          <w:lang w:val="es-E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96"/>
        <w:gridCol w:w="1956"/>
        <w:gridCol w:w="1668"/>
      </w:tblGrid>
      <w:tr w:rsidR="0050047E" w:rsidRPr="00080B2A">
        <w:tc>
          <w:tcPr>
            <w:tcW w:w="8568" w:type="dxa"/>
            <w:gridSpan w:val="4"/>
          </w:tcPr>
          <w:p w:rsidR="0050047E" w:rsidRPr="005B57B7" w:rsidRDefault="0050047E">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Costo del Programa por Fuentes de Financiamiento</w:t>
            </w:r>
          </w:p>
        </w:tc>
      </w:tr>
      <w:tr w:rsidR="0050047E" w:rsidRPr="005B57B7">
        <w:tc>
          <w:tcPr>
            <w:tcW w:w="2448" w:type="dxa"/>
          </w:tcPr>
          <w:p w:rsidR="0050047E" w:rsidRPr="005B57B7" w:rsidRDefault="00A7190B">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 xml:space="preserve">Componente </w:t>
            </w:r>
            <w:r w:rsidR="00202D80" w:rsidRPr="005B57B7">
              <w:rPr>
                <w:rFonts w:ascii="Arial" w:hAnsi="Arial" w:cs="Arial"/>
                <w:b/>
                <w:position w:val="8"/>
                <w:sz w:val="18"/>
                <w:szCs w:val="18"/>
                <w:lang w:val="es-ES"/>
              </w:rPr>
              <w:t xml:space="preserve">único </w:t>
            </w:r>
            <w:r w:rsidRPr="005B57B7">
              <w:rPr>
                <w:rFonts w:ascii="Arial" w:hAnsi="Arial" w:cs="Arial"/>
                <w:b/>
                <w:position w:val="8"/>
                <w:sz w:val="18"/>
                <w:szCs w:val="18"/>
                <w:lang w:val="es-ES"/>
              </w:rPr>
              <w:t>de inversió</w:t>
            </w:r>
            <w:r w:rsidR="0050047E" w:rsidRPr="005B57B7">
              <w:rPr>
                <w:rFonts w:ascii="Arial" w:hAnsi="Arial" w:cs="Arial"/>
                <w:b/>
                <w:position w:val="8"/>
                <w:sz w:val="18"/>
                <w:szCs w:val="18"/>
                <w:lang w:val="es-ES"/>
              </w:rPr>
              <w:t>n</w:t>
            </w:r>
          </w:p>
        </w:tc>
        <w:tc>
          <w:tcPr>
            <w:tcW w:w="2496" w:type="dxa"/>
          </w:tcPr>
          <w:p w:rsidR="0050047E" w:rsidRPr="005B57B7" w:rsidRDefault="000D2925">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 xml:space="preserve">Recursos del </w:t>
            </w:r>
            <w:r w:rsidR="00980472" w:rsidRPr="005B57B7">
              <w:rPr>
                <w:rFonts w:ascii="Arial" w:hAnsi="Arial" w:cs="Arial"/>
                <w:b/>
                <w:position w:val="8"/>
                <w:sz w:val="18"/>
                <w:szCs w:val="18"/>
                <w:lang w:val="es-ES"/>
              </w:rPr>
              <w:t xml:space="preserve">programa provenientes del </w:t>
            </w:r>
            <w:r w:rsidRPr="005B57B7">
              <w:rPr>
                <w:rFonts w:ascii="Arial" w:hAnsi="Arial" w:cs="Arial"/>
                <w:b/>
                <w:position w:val="8"/>
                <w:sz w:val="18"/>
                <w:szCs w:val="18"/>
                <w:lang w:val="es-ES"/>
              </w:rPr>
              <w:t>Fondo de Tecnologías Limpias</w:t>
            </w:r>
          </w:p>
        </w:tc>
        <w:tc>
          <w:tcPr>
            <w:tcW w:w="1956" w:type="dxa"/>
          </w:tcPr>
          <w:p w:rsidR="0050047E" w:rsidRPr="005B57B7" w:rsidRDefault="0050047E" w:rsidP="00CD3EE8">
            <w:pPr>
              <w:jc w:val="center"/>
              <w:rPr>
                <w:rFonts w:ascii="Arial" w:hAnsi="Arial" w:cs="Arial"/>
                <w:b/>
                <w:position w:val="8"/>
                <w:sz w:val="18"/>
                <w:szCs w:val="18"/>
                <w:lang w:val="es-ES"/>
              </w:rPr>
            </w:pPr>
            <w:r w:rsidRPr="005B57B7">
              <w:rPr>
                <w:rFonts w:ascii="Arial" w:hAnsi="Arial" w:cs="Arial"/>
                <w:b/>
                <w:position w:val="8"/>
                <w:sz w:val="18"/>
                <w:szCs w:val="18"/>
                <w:lang w:val="es-ES"/>
              </w:rPr>
              <w:t>Aporte Local</w:t>
            </w:r>
            <w:r w:rsidR="00EA1968" w:rsidRPr="005B57B7">
              <w:rPr>
                <w:rFonts w:ascii="Arial" w:hAnsi="Arial" w:cs="Arial"/>
                <w:b/>
                <w:position w:val="8"/>
                <w:sz w:val="18"/>
                <w:szCs w:val="18"/>
                <w:lang w:val="es-ES"/>
              </w:rPr>
              <w:t xml:space="preserve"> con recursos del </w:t>
            </w:r>
            <w:r w:rsidR="000D2925" w:rsidRPr="005B57B7">
              <w:rPr>
                <w:rFonts w:ascii="Arial" w:hAnsi="Arial" w:cs="Arial"/>
                <w:b/>
                <w:position w:val="8"/>
                <w:sz w:val="18"/>
                <w:szCs w:val="18"/>
                <w:lang w:val="es-ES"/>
              </w:rPr>
              <w:t>préstamo  B</w:t>
            </w:r>
            <w:r w:rsidR="00EA1968" w:rsidRPr="005B57B7">
              <w:rPr>
                <w:rFonts w:ascii="Arial" w:hAnsi="Arial" w:cs="Arial"/>
                <w:b/>
                <w:position w:val="8"/>
                <w:sz w:val="18"/>
                <w:szCs w:val="18"/>
                <w:lang w:val="es-ES"/>
              </w:rPr>
              <w:t>ID</w:t>
            </w:r>
          </w:p>
          <w:p w:rsidR="000D2925" w:rsidRPr="005B57B7" w:rsidRDefault="000D2925" w:rsidP="004906D8">
            <w:pPr>
              <w:jc w:val="center"/>
              <w:rPr>
                <w:rFonts w:ascii="Arial" w:hAnsi="Arial" w:cs="Arial"/>
                <w:b/>
                <w:position w:val="8"/>
                <w:sz w:val="18"/>
                <w:szCs w:val="18"/>
                <w:lang w:val="es-ES"/>
              </w:rPr>
            </w:pPr>
            <w:r w:rsidRPr="005B57B7">
              <w:rPr>
                <w:rFonts w:ascii="Arial" w:hAnsi="Arial" w:cs="Arial"/>
                <w:b/>
                <w:position w:val="8"/>
                <w:sz w:val="18"/>
                <w:szCs w:val="18"/>
                <w:lang w:val="es-ES"/>
              </w:rPr>
              <w:t>2949</w:t>
            </w:r>
            <w:r w:rsidR="008B3823" w:rsidRPr="005B57B7">
              <w:rPr>
                <w:rFonts w:ascii="Arial" w:hAnsi="Arial" w:cs="Arial"/>
                <w:b/>
                <w:position w:val="8"/>
                <w:sz w:val="18"/>
                <w:szCs w:val="18"/>
                <w:lang w:val="es-ES"/>
              </w:rPr>
              <w:t>/</w:t>
            </w:r>
            <w:r w:rsidRPr="005B57B7">
              <w:rPr>
                <w:rFonts w:ascii="Arial" w:hAnsi="Arial" w:cs="Arial"/>
                <w:b/>
                <w:position w:val="8"/>
                <w:sz w:val="18"/>
                <w:szCs w:val="18"/>
                <w:lang w:val="es-ES"/>
              </w:rPr>
              <w:t>OC-CO</w:t>
            </w:r>
          </w:p>
        </w:tc>
        <w:tc>
          <w:tcPr>
            <w:tcW w:w="1668" w:type="dxa"/>
          </w:tcPr>
          <w:p w:rsidR="0050047E" w:rsidRPr="005B57B7" w:rsidRDefault="0050047E">
            <w:pPr>
              <w:spacing w:before="120"/>
              <w:jc w:val="center"/>
              <w:rPr>
                <w:rFonts w:ascii="Arial" w:hAnsi="Arial" w:cs="Arial"/>
                <w:b/>
                <w:position w:val="8"/>
                <w:sz w:val="18"/>
                <w:szCs w:val="18"/>
                <w:lang w:val="es-ES"/>
              </w:rPr>
            </w:pPr>
            <w:r w:rsidRPr="005B57B7">
              <w:rPr>
                <w:rFonts w:ascii="Arial" w:hAnsi="Arial" w:cs="Arial"/>
                <w:b/>
                <w:position w:val="8"/>
                <w:sz w:val="18"/>
                <w:szCs w:val="18"/>
                <w:lang w:val="es-ES"/>
              </w:rPr>
              <w:t>Total</w:t>
            </w:r>
          </w:p>
        </w:tc>
      </w:tr>
      <w:tr w:rsidR="0050047E" w:rsidRPr="005B57B7">
        <w:tc>
          <w:tcPr>
            <w:tcW w:w="2448" w:type="dxa"/>
          </w:tcPr>
          <w:p w:rsidR="0050047E" w:rsidRPr="005B57B7" w:rsidRDefault="0050047E">
            <w:pPr>
              <w:spacing w:before="120"/>
              <w:jc w:val="both"/>
              <w:rPr>
                <w:rFonts w:ascii="Arial" w:hAnsi="Arial" w:cs="Arial"/>
                <w:position w:val="8"/>
                <w:sz w:val="18"/>
                <w:szCs w:val="18"/>
                <w:lang w:val="es-ES"/>
              </w:rPr>
            </w:pPr>
            <w:r w:rsidRPr="005B57B7">
              <w:rPr>
                <w:rFonts w:ascii="Arial" w:hAnsi="Arial" w:cs="Arial"/>
                <w:position w:val="8"/>
                <w:sz w:val="18"/>
                <w:szCs w:val="18"/>
                <w:lang w:val="es-ES"/>
              </w:rPr>
              <w:t>Monto</w:t>
            </w:r>
          </w:p>
        </w:tc>
        <w:tc>
          <w:tcPr>
            <w:tcW w:w="2496"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9.26</w:t>
            </w:r>
            <w:r w:rsidR="00202D80" w:rsidRPr="005B57B7">
              <w:rPr>
                <w:rFonts w:ascii="Arial" w:hAnsi="Arial" w:cs="Arial"/>
                <w:position w:val="8"/>
                <w:sz w:val="18"/>
                <w:szCs w:val="18"/>
                <w:lang w:val="es-ES"/>
              </w:rPr>
              <w:t>5</w:t>
            </w:r>
          </w:p>
        </w:tc>
        <w:tc>
          <w:tcPr>
            <w:tcW w:w="1956" w:type="dxa"/>
          </w:tcPr>
          <w:p w:rsidR="0050047E" w:rsidRPr="005B57B7" w:rsidRDefault="00632B34" w:rsidP="004906D8">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10</w:t>
            </w:r>
            <w:r w:rsidR="004906D8" w:rsidRPr="005B57B7">
              <w:rPr>
                <w:rStyle w:val="FootnoteReference"/>
                <w:rFonts w:ascii="Arial" w:hAnsi="Arial"/>
                <w:position w:val="8"/>
                <w:sz w:val="18"/>
                <w:szCs w:val="18"/>
                <w:vertAlign w:val="superscript"/>
                <w:lang w:val="es-ES"/>
              </w:rPr>
              <w:footnoteReference w:id="2"/>
            </w:r>
          </w:p>
        </w:tc>
        <w:tc>
          <w:tcPr>
            <w:tcW w:w="1668"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19.26</w:t>
            </w:r>
            <w:r w:rsidR="00202D80" w:rsidRPr="005B57B7">
              <w:rPr>
                <w:rFonts w:ascii="Arial" w:hAnsi="Arial" w:cs="Arial"/>
                <w:position w:val="8"/>
                <w:sz w:val="18"/>
                <w:szCs w:val="18"/>
                <w:lang w:val="es-ES"/>
              </w:rPr>
              <w:t>5</w:t>
            </w:r>
          </w:p>
        </w:tc>
      </w:tr>
      <w:tr w:rsidR="0050047E" w:rsidRPr="005B57B7">
        <w:tc>
          <w:tcPr>
            <w:tcW w:w="2448" w:type="dxa"/>
          </w:tcPr>
          <w:p w:rsidR="0050047E" w:rsidRPr="005B57B7" w:rsidRDefault="0050047E">
            <w:pPr>
              <w:spacing w:before="120"/>
              <w:jc w:val="both"/>
              <w:rPr>
                <w:rFonts w:ascii="Arial" w:hAnsi="Arial" w:cs="Arial"/>
                <w:position w:val="8"/>
                <w:sz w:val="18"/>
                <w:szCs w:val="18"/>
                <w:lang w:val="es-ES"/>
              </w:rPr>
            </w:pPr>
            <w:r w:rsidRPr="005B57B7">
              <w:rPr>
                <w:rFonts w:ascii="Arial" w:hAnsi="Arial" w:cs="Arial"/>
                <w:position w:val="8"/>
                <w:sz w:val="18"/>
                <w:szCs w:val="18"/>
                <w:lang w:val="es-ES"/>
              </w:rPr>
              <w:t>Porcentaje</w:t>
            </w:r>
          </w:p>
        </w:tc>
        <w:tc>
          <w:tcPr>
            <w:tcW w:w="2496" w:type="dxa"/>
          </w:tcPr>
          <w:p w:rsidR="0050047E" w:rsidRPr="005B57B7" w:rsidRDefault="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46.3</w:t>
            </w:r>
            <w:r w:rsidR="0050047E" w:rsidRPr="005B57B7">
              <w:rPr>
                <w:rFonts w:ascii="Arial" w:hAnsi="Arial" w:cs="Arial"/>
                <w:position w:val="8"/>
                <w:sz w:val="18"/>
                <w:szCs w:val="18"/>
                <w:lang w:val="es-ES"/>
              </w:rPr>
              <w:t>%</w:t>
            </w:r>
          </w:p>
        </w:tc>
        <w:tc>
          <w:tcPr>
            <w:tcW w:w="1956" w:type="dxa"/>
          </w:tcPr>
          <w:p w:rsidR="0050047E" w:rsidRPr="005B57B7" w:rsidRDefault="0050047E" w:rsidP="00BF7E37">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5</w:t>
            </w:r>
            <w:r w:rsidR="00BF7E37" w:rsidRPr="005B57B7">
              <w:rPr>
                <w:rFonts w:ascii="Arial" w:hAnsi="Arial" w:cs="Arial"/>
                <w:position w:val="8"/>
                <w:sz w:val="18"/>
                <w:szCs w:val="18"/>
                <w:lang w:val="es-ES"/>
              </w:rPr>
              <w:t>3.7</w:t>
            </w:r>
            <w:r w:rsidRPr="005B57B7">
              <w:rPr>
                <w:rFonts w:ascii="Arial" w:hAnsi="Arial" w:cs="Arial"/>
                <w:position w:val="8"/>
                <w:sz w:val="18"/>
                <w:szCs w:val="18"/>
                <w:lang w:val="es-ES"/>
              </w:rPr>
              <w:t>%</w:t>
            </w:r>
          </w:p>
        </w:tc>
        <w:tc>
          <w:tcPr>
            <w:tcW w:w="1668" w:type="dxa"/>
          </w:tcPr>
          <w:p w:rsidR="0050047E" w:rsidRPr="005B57B7" w:rsidRDefault="0050047E">
            <w:pPr>
              <w:spacing w:before="120"/>
              <w:jc w:val="center"/>
              <w:rPr>
                <w:rFonts w:ascii="Arial" w:hAnsi="Arial" w:cs="Arial"/>
                <w:position w:val="8"/>
                <w:sz w:val="18"/>
                <w:szCs w:val="18"/>
                <w:lang w:val="es-ES"/>
              </w:rPr>
            </w:pPr>
            <w:r w:rsidRPr="005B57B7">
              <w:rPr>
                <w:rFonts w:ascii="Arial" w:hAnsi="Arial" w:cs="Arial"/>
                <w:position w:val="8"/>
                <w:sz w:val="18"/>
                <w:szCs w:val="18"/>
                <w:lang w:val="es-ES"/>
              </w:rPr>
              <w:t>100%</w:t>
            </w:r>
          </w:p>
        </w:tc>
      </w:tr>
    </w:tbl>
    <w:p w:rsidR="0050047E" w:rsidRPr="005B57B7" w:rsidRDefault="0050047E">
      <w:pPr>
        <w:spacing w:before="120"/>
        <w:jc w:val="both"/>
        <w:rPr>
          <w:rFonts w:ascii="Arial" w:hAnsi="Arial" w:cs="Arial"/>
          <w:b/>
          <w:sz w:val="22"/>
          <w:szCs w:val="22"/>
          <w:u w:val="single"/>
          <w:lang w:val="es-ES"/>
        </w:rPr>
      </w:pPr>
    </w:p>
    <w:p w:rsidR="0050047E" w:rsidRPr="005B57B7" w:rsidRDefault="0050047E" w:rsidP="005D73E8">
      <w:pPr>
        <w:jc w:val="both"/>
        <w:rPr>
          <w:rFonts w:ascii="Arial" w:hAnsi="Arial" w:cs="Arial"/>
          <w:sz w:val="22"/>
          <w:szCs w:val="22"/>
          <w:lang w:val="es-ES"/>
        </w:rPr>
      </w:pPr>
      <w:r w:rsidRPr="005B57B7">
        <w:rPr>
          <w:rFonts w:ascii="Arial" w:hAnsi="Arial" w:cs="Arial"/>
          <w:sz w:val="22"/>
          <w:szCs w:val="22"/>
          <w:lang w:val="es-ES"/>
        </w:rPr>
        <w:t xml:space="preserve">El programa está encaminado a entregar recursos bajo </w:t>
      </w:r>
      <w:r w:rsidR="00751806" w:rsidRPr="005B57B7">
        <w:rPr>
          <w:rFonts w:ascii="Arial" w:hAnsi="Arial" w:cs="Arial"/>
          <w:sz w:val="22"/>
          <w:szCs w:val="22"/>
          <w:lang w:val="es-ES"/>
        </w:rPr>
        <w:t xml:space="preserve">un cupo especial de crédito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w:t>
      </w:r>
      <w:r w:rsidR="00751806" w:rsidRPr="005B57B7">
        <w:rPr>
          <w:rFonts w:ascii="Arial" w:hAnsi="Arial" w:cs="Arial"/>
          <w:sz w:val="22"/>
          <w:szCs w:val="22"/>
          <w:lang w:val="es-ES"/>
        </w:rPr>
        <w:t xml:space="preserve">para financiar proyectos en tecnologías elegibles </w:t>
      </w:r>
      <w:r w:rsidR="00202D80" w:rsidRPr="005B57B7">
        <w:rPr>
          <w:rFonts w:ascii="Arial" w:hAnsi="Arial" w:cs="Arial"/>
          <w:sz w:val="22"/>
          <w:szCs w:val="22"/>
          <w:lang w:val="es-ES"/>
        </w:rPr>
        <w:t xml:space="preserve">para generación de energías renovables en las ZNIs, </w:t>
      </w:r>
      <w:r w:rsidR="00DD7A73" w:rsidRPr="005B57B7">
        <w:rPr>
          <w:rFonts w:ascii="Arial" w:hAnsi="Arial" w:cs="Arial"/>
          <w:sz w:val="22"/>
          <w:szCs w:val="22"/>
          <w:lang w:val="es-ES"/>
        </w:rPr>
        <w:t>apoyando</w:t>
      </w:r>
      <w:r w:rsidR="00202D80" w:rsidRPr="005B57B7">
        <w:rPr>
          <w:rFonts w:ascii="Arial" w:hAnsi="Arial" w:cs="Arial"/>
          <w:sz w:val="22"/>
          <w:szCs w:val="22"/>
          <w:lang w:val="es-ES"/>
        </w:rPr>
        <w:t xml:space="preserve"> la innovación tecnológica y modernización </w:t>
      </w:r>
      <w:r w:rsidR="00751806" w:rsidRPr="005B57B7">
        <w:rPr>
          <w:rFonts w:ascii="Arial" w:hAnsi="Arial" w:cs="Arial"/>
          <w:sz w:val="22"/>
          <w:szCs w:val="22"/>
          <w:lang w:val="es-ES"/>
        </w:rPr>
        <w:t xml:space="preserve"> y reduciendo al mismo tiempo sus emisiones de gases </w:t>
      </w:r>
      <w:r w:rsidR="00DD7A73" w:rsidRPr="005B57B7">
        <w:rPr>
          <w:rFonts w:ascii="Arial" w:hAnsi="Arial" w:cs="Arial"/>
          <w:sz w:val="22"/>
          <w:szCs w:val="22"/>
          <w:lang w:val="es-ES"/>
        </w:rPr>
        <w:t xml:space="preserve">de </w:t>
      </w:r>
      <w:r w:rsidR="00751806" w:rsidRPr="005B57B7">
        <w:rPr>
          <w:rFonts w:ascii="Arial" w:hAnsi="Arial" w:cs="Arial"/>
          <w:sz w:val="22"/>
          <w:szCs w:val="22"/>
          <w:lang w:val="es-ES"/>
        </w:rPr>
        <w:t xml:space="preserve">efecto invernadero. </w:t>
      </w:r>
    </w:p>
    <w:p w:rsidR="0050047E" w:rsidRPr="005B57B7" w:rsidRDefault="0050047E" w:rsidP="00E7250B">
      <w:pPr>
        <w:pStyle w:val="Heading1"/>
        <w:rPr>
          <w:sz w:val="28"/>
          <w:lang w:val="es-ES"/>
        </w:rPr>
      </w:pPr>
      <w:bookmarkStart w:id="9" w:name="_Toc217379099"/>
      <w:bookmarkStart w:id="10" w:name="_Toc428252150"/>
      <w:bookmarkStart w:id="11" w:name="_Toc431307105"/>
      <w:r w:rsidRPr="005B57B7">
        <w:rPr>
          <w:sz w:val="28"/>
          <w:lang w:val="es-ES"/>
        </w:rPr>
        <w:t>Características generales de</w:t>
      </w:r>
      <w:r w:rsidR="00751806" w:rsidRPr="005B57B7">
        <w:rPr>
          <w:sz w:val="28"/>
          <w:lang w:val="es-ES"/>
        </w:rPr>
        <w:t xml:space="preserve">l cupo especial de crédito de </w:t>
      </w:r>
      <w:r w:rsidR="00C136B7" w:rsidRPr="005B57B7">
        <w:rPr>
          <w:sz w:val="28"/>
          <w:lang w:val="es-ES"/>
        </w:rPr>
        <w:t>BANCÓLDEX</w:t>
      </w:r>
      <w:r w:rsidR="00751806" w:rsidRPr="005B57B7">
        <w:rPr>
          <w:sz w:val="28"/>
          <w:lang w:val="es-ES"/>
        </w:rPr>
        <w:t xml:space="preserve"> para financiar proyectos en tecnologías elegibles de </w:t>
      </w:r>
      <w:r w:rsidR="004A6E4B" w:rsidRPr="005B57B7">
        <w:rPr>
          <w:sz w:val="28"/>
          <w:lang w:val="es-ES"/>
        </w:rPr>
        <w:t xml:space="preserve">energía renovable en las ZNIs </w:t>
      </w:r>
      <w:r w:rsidR="005C724D" w:rsidRPr="005B57B7">
        <w:rPr>
          <w:sz w:val="28"/>
          <w:lang w:val="es-ES"/>
        </w:rPr>
        <w:t>a ser fondead</w:t>
      </w:r>
      <w:r w:rsidR="00751806" w:rsidRPr="005B57B7">
        <w:rPr>
          <w:sz w:val="28"/>
          <w:lang w:val="es-ES"/>
        </w:rPr>
        <w:t>o</w:t>
      </w:r>
      <w:r w:rsidR="005C724D" w:rsidRPr="005B57B7">
        <w:rPr>
          <w:sz w:val="28"/>
          <w:lang w:val="es-ES"/>
        </w:rPr>
        <w:t xml:space="preserve"> con recursos del </w:t>
      </w:r>
      <w:r w:rsidRPr="005B57B7">
        <w:rPr>
          <w:sz w:val="28"/>
          <w:lang w:val="es-ES"/>
        </w:rPr>
        <w:t>Programa.</w:t>
      </w:r>
      <w:bookmarkEnd w:id="9"/>
      <w:bookmarkEnd w:id="10"/>
      <w:bookmarkEnd w:id="11"/>
    </w:p>
    <w:p w:rsidR="009F35D0" w:rsidRPr="005B57B7" w:rsidRDefault="0050047E" w:rsidP="005D73E8">
      <w:pPr>
        <w:jc w:val="both"/>
        <w:rPr>
          <w:rFonts w:ascii="Arial" w:hAnsi="Arial" w:cs="Arial"/>
          <w:sz w:val="22"/>
          <w:szCs w:val="22"/>
          <w:lang w:val="es-ES" w:eastAsia="es-ES"/>
        </w:rPr>
      </w:pPr>
      <w:r w:rsidRPr="005B57B7">
        <w:rPr>
          <w:rFonts w:ascii="Arial" w:hAnsi="Arial" w:cs="Arial"/>
          <w:sz w:val="22"/>
          <w:szCs w:val="22"/>
          <w:lang w:val="es-ES" w:eastAsia="es-ES"/>
        </w:rPr>
        <w:t xml:space="preserve">Este programa </w:t>
      </w:r>
      <w:r w:rsidR="002549E6" w:rsidRPr="005B57B7">
        <w:rPr>
          <w:rFonts w:ascii="Arial" w:hAnsi="Arial" w:cs="Arial"/>
          <w:sz w:val="22"/>
          <w:szCs w:val="22"/>
          <w:lang w:val="es-ES" w:eastAsia="es-ES"/>
        </w:rPr>
        <w:t xml:space="preserve">contempla </w:t>
      </w:r>
      <w:r w:rsidRPr="005B57B7">
        <w:rPr>
          <w:rFonts w:ascii="Arial" w:hAnsi="Arial" w:cs="Arial"/>
          <w:sz w:val="22"/>
          <w:szCs w:val="22"/>
          <w:lang w:val="es-ES" w:eastAsia="es-ES"/>
        </w:rPr>
        <w:t xml:space="preserve">fondeo </w:t>
      </w:r>
      <w:r w:rsidR="00751806" w:rsidRPr="005B57B7">
        <w:rPr>
          <w:rFonts w:ascii="Arial" w:hAnsi="Arial" w:cs="Arial"/>
          <w:sz w:val="22"/>
          <w:szCs w:val="22"/>
          <w:lang w:val="es-ES" w:eastAsia="es-ES"/>
        </w:rPr>
        <w:t xml:space="preserve">para un cupo especial de crédito para financiar proyectos en tecnologías elegibles </w:t>
      </w:r>
      <w:r w:rsidR="004A6E4B" w:rsidRPr="005B57B7">
        <w:rPr>
          <w:rFonts w:ascii="Arial" w:hAnsi="Arial" w:cs="Arial"/>
          <w:sz w:val="22"/>
          <w:szCs w:val="22"/>
          <w:lang w:val="es-ES"/>
        </w:rPr>
        <w:t>para generación de energías renovables en las ZNIs</w:t>
      </w:r>
      <w:r w:rsidR="00751806" w:rsidRPr="005B57B7">
        <w:rPr>
          <w:rFonts w:ascii="Arial" w:hAnsi="Arial" w:cs="Arial"/>
          <w:sz w:val="22"/>
          <w:szCs w:val="22"/>
          <w:lang w:val="es-ES" w:eastAsia="es-ES"/>
        </w:rPr>
        <w:t xml:space="preserve"> </w:t>
      </w:r>
      <w:r w:rsidR="002549E6" w:rsidRPr="005B57B7">
        <w:rPr>
          <w:rFonts w:ascii="Arial" w:hAnsi="Arial" w:cs="Arial"/>
          <w:sz w:val="22"/>
          <w:szCs w:val="22"/>
          <w:lang w:val="es-ES" w:eastAsia="es-ES"/>
        </w:rPr>
        <w:t xml:space="preserve">a </w:t>
      </w:r>
      <w:r w:rsidR="00751806" w:rsidRPr="005B57B7">
        <w:rPr>
          <w:rFonts w:ascii="Arial" w:hAnsi="Arial" w:cs="Arial"/>
          <w:sz w:val="22"/>
          <w:szCs w:val="22"/>
          <w:lang w:val="es-ES" w:eastAsia="es-ES"/>
        </w:rPr>
        <w:t xml:space="preserve">una tasa de redescuento </w:t>
      </w:r>
      <w:r w:rsidR="00864A1D" w:rsidRPr="005B57B7">
        <w:rPr>
          <w:rFonts w:ascii="Arial" w:hAnsi="Arial" w:cs="Arial"/>
          <w:sz w:val="22"/>
          <w:szCs w:val="22"/>
          <w:lang w:val="es-ES" w:eastAsia="es-ES"/>
        </w:rPr>
        <w:t xml:space="preserve">que </w:t>
      </w:r>
      <w:r w:rsidR="007F7A3A" w:rsidRPr="005B57B7">
        <w:rPr>
          <w:rFonts w:ascii="Arial" w:hAnsi="Arial" w:cs="Arial"/>
          <w:sz w:val="22"/>
          <w:szCs w:val="22"/>
          <w:lang w:val="es-ES" w:eastAsia="es-ES"/>
        </w:rPr>
        <w:t xml:space="preserve">se espera sea superior a la </w:t>
      </w:r>
      <w:r w:rsidR="00751806" w:rsidRPr="005B57B7">
        <w:rPr>
          <w:rFonts w:ascii="Arial" w:hAnsi="Arial" w:cs="Arial"/>
          <w:sz w:val="22"/>
          <w:szCs w:val="22"/>
          <w:lang w:val="es-ES" w:eastAsia="es-ES"/>
        </w:rPr>
        <w:t xml:space="preserve"> </w:t>
      </w:r>
      <w:r w:rsidR="002549E6" w:rsidRPr="005B57B7">
        <w:rPr>
          <w:rFonts w:ascii="Arial" w:hAnsi="Arial" w:cs="Arial"/>
          <w:sz w:val="22"/>
          <w:szCs w:val="22"/>
          <w:lang w:val="es-ES" w:eastAsia="es-ES"/>
        </w:rPr>
        <w:t>tasa media de fondeo del mercado DTF</w:t>
      </w:r>
      <w:r w:rsidR="002549E6" w:rsidRPr="005B57B7">
        <w:rPr>
          <w:rStyle w:val="FootnoteReference"/>
          <w:rFonts w:ascii="Arial" w:hAnsi="Arial"/>
          <w:sz w:val="22"/>
          <w:szCs w:val="22"/>
          <w:vertAlign w:val="superscript"/>
          <w:lang w:val="es-ES" w:eastAsia="es-ES"/>
        </w:rPr>
        <w:footnoteReference w:id="3"/>
      </w:r>
      <w:r w:rsidR="002549E6" w:rsidRPr="005B57B7">
        <w:rPr>
          <w:rFonts w:ascii="Arial" w:hAnsi="Arial" w:cs="Arial"/>
          <w:sz w:val="22"/>
          <w:szCs w:val="22"/>
          <w:lang w:val="es-ES" w:eastAsia="es-ES"/>
        </w:rPr>
        <w:t xml:space="preserve"> </w:t>
      </w:r>
      <w:r w:rsidR="007F7A3A" w:rsidRPr="005B57B7">
        <w:rPr>
          <w:rFonts w:ascii="Arial" w:hAnsi="Arial" w:cs="Arial"/>
          <w:sz w:val="22"/>
          <w:szCs w:val="22"/>
          <w:lang w:val="es-ES" w:eastAsia="es-ES"/>
        </w:rPr>
        <w:t xml:space="preserve">pero inferior a las tasas de redescuento que </w:t>
      </w:r>
      <w:r w:rsidR="00C136B7" w:rsidRPr="005B57B7">
        <w:rPr>
          <w:rFonts w:ascii="Arial" w:hAnsi="Arial" w:cs="Arial"/>
          <w:sz w:val="22"/>
          <w:szCs w:val="22"/>
          <w:lang w:val="es-ES" w:eastAsia="es-ES"/>
        </w:rPr>
        <w:t>BANCÓLDEX</w:t>
      </w:r>
      <w:r w:rsidR="007F7A3A" w:rsidRPr="005B57B7">
        <w:rPr>
          <w:rFonts w:ascii="Arial" w:hAnsi="Arial" w:cs="Arial"/>
          <w:sz w:val="22"/>
          <w:szCs w:val="22"/>
          <w:lang w:val="es-ES" w:eastAsia="es-ES"/>
        </w:rPr>
        <w:t xml:space="preserve"> tiene bajo la modalidad de crédito de modernización empresarial, reflejando la mayor concesionalidad asociada a recursos provenientes de fondos climáticos internacionales.  </w:t>
      </w:r>
    </w:p>
    <w:p w:rsidR="005C724D" w:rsidRPr="005B57B7" w:rsidRDefault="005C724D" w:rsidP="00622CC4">
      <w:pPr>
        <w:autoSpaceDE w:val="0"/>
        <w:autoSpaceDN w:val="0"/>
        <w:adjustRightInd w:val="0"/>
        <w:jc w:val="both"/>
        <w:rPr>
          <w:rFonts w:ascii="Arial" w:hAnsi="Arial" w:cs="Arial"/>
          <w:sz w:val="22"/>
          <w:szCs w:val="22"/>
          <w:lang w:val="es-ES"/>
        </w:rPr>
      </w:pPr>
    </w:p>
    <w:p w:rsidR="009F35D0" w:rsidRPr="005B57B7" w:rsidRDefault="009F35D0" w:rsidP="004B0E2A">
      <w:pPr>
        <w:jc w:val="both"/>
        <w:rPr>
          <w:rFonts w:ascii="Arial" w:hAnsi="Arial" w:cs="Arial"/>
          <w:sz w:val="22"/>
          <w:szCs w:val="22"/>
          <w:lang w:val="es-ES"/>
        </w:rPr>
      </w:pPr>
      <w:r w:rsidRPr="005B57B7">
        <w:rPr>
          <w:rFonts w:ascii="Arial" w:hAnsi="Arial" w:cs="Arial"/>
          <w:sz w:val="22"/>
          <w:szCs w:val="22"/>
          <w:lang w:val="es-ES"/>
        </w:rPr>
        <w:t xml:space="preserve">En </w:t>
      </w:r>
      <w:r w:rsidR="002549E6" w:rsidRPr="005B57B7">
        <w:rPr>
          <w:rFonts w:ascii="Arial" w:hAnsi="Arial" w:cs="Arial"/>
          <w:sz w:val="22"/>
          <w:szCs w:val="22"/>
          <w:lang w:val="es-ES"/>
        </w:rPr>
        <w:t xml:space="preserve">general, </w:t>
      </w:r>
      <w:r w:rsidR="00864A1D" w:rsidRPr="005B57B7">
        <w:rPr>
          <w:rFonts w:ascii="Arial" w:hAnsi="Arial" w:cs="Arial"/>
          <w:sz w:val="22"/>
          <w:szCs w:val="22"/>
          <w:lang w:val="es-ES"/>
        </w:rPr>
        <w:t xml:space="preserve">el cupo especial de </w:t>
      </w:r>
      <w:r w:rsidRPr="005B57B7">
        <w:rPr>
          <w:rFonts w:ascii="Arial" w:hAnsi="Arial" w:cs="Arial"/>
          <w:sz w:val="22"/>
          <w:szCs w:val="22"/>
          <w:lang w:val="es-ES"/>
        </w:rPr>
        <w:t xml:space="preserve">crédito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para </w:t>
      </w:r>
      <w:r w:rsidR="00864A1D" w:rsidRPr="005B57B7">
        <w:rPr>
          <w:rFonts w:ascii="Arial" w:hAnsi="Arial" w:cs="Arial"/>
          <w:sz w:val="22"/>
          <w:szCs w:val="22"/>
          <w:lang w:val="es-ES"/>
        </w:rPr>
        <w:t xml:space="preserve">promover el financiamiento de proyectos elegibles </w:t>
      </w:r>
      <w:r w:rsidR="004A6E4B" w:rsidRPr="005B57B7">
        <w:rPr>
          <w:rFonts w:ascii="Arial" w:hAnsi="Arial" w:cs="Arial"/>
          <w:sz w:val="22"/>
          <w:szCs w:val="22"/>
          <w:lang w:val="es-ES"/>
        </w:rPr>
        <w:t>para generación de energías renovables en las ZNIs</w:t>
      </w:r>
      <w:r w:rsidR="00864A1D" w:rsidRPr="005B57B7">
        <w:rPr>
          <w:rFonts w:ascii="Arial" w:hAnsi="Arial" w:cs="Arial"/>
          <w:sz w:val="22"/>
          <w:szCs w:val="22"/>
          <w:lang w:val="es-ES"/>
        </w:rPr>
        <w:t xml:space="preserve"> </w:t>
      </w:r>
      <w:r w:rsidR="005C724D" w:rsidRPr="005B57B7">
        <w:rPr>
          <w:rFonts w:ascii="Arial" w:hAnsi="Arial" w:cs="Arial"/>
          <w:sz w:val="22"/>
          <w:szCs w:val="22"/>
          <w:lang w:val="es-ES"/>
        </w:rPr>
        <w:t>a ser</w:t>
      </w:r>
      <w:r w:rsidR="002549E6" w:rsidRPr="005B57B7">
        <w:rPr>
          <w:rFonts w:ascii="Arial" w:hAnsi="Arial" w:cs="Arial"/>
          <w:sz w:val="22"/>
          <w:szCs w:val="22"/>
          <w:lang w:val="es-ES"/>
        </w:rPr>
        <w:t xml:space="preserve"> fondead</w:t>
      </w:r>
      <w:r w:rsidR="00864A1D" w:rsidRPr="005B57B7">
        <w:rPr>
          <w:rFonts w:ascii="Arial" w:hAnsi="Arial" w:cs="Arial"/>
          <w:sz w:val="22"/>
          <w:szCs w:val="22"/>
          <w:lang w:val="es-ES"/>
        </w:rPr>
        <w:t>o</w:t>
      </w:r>
      <w:r w:rsidR="002549E6" w:rsidRPr="005B57B7">
        <w:rPr>
          <w:rFonts w:ascii="Arial" w:hAnsi="Arial" w:cs="Arial"/>
          <w:sz w:val="22"/>
          <w:szCs w:val="22"/>
          <w:lang w:val="es-ES"/>
        </w:rPr>
        <w:t xml:space="preserve"> con recursos de </w:t>
      </w:r>
      <w:r w:rsidR="00D075C8" w:rsidRPr="005B57B7">
        <w:rPr>
          <w:rFonts w:ascii="Arial" w:hAnsi="Arial" w:cs="Arial"/>
          <w:sz w:val="22"/>
          <w:szCs w:val="22"/>
          <w:lang w:val="es-ES"/>
        </w:rPr>
        <w:t>este programa</w:t>
      </w:r>
      <w:r w:rsidR="0057287F" w:rsidRPr="005B57B7">
        <w:rPr>
          <w:rFonts w:ascii="Arial" w:hAnsi="Arial" w:cs="Arial"/>
          <w:sz w:val="22"/>
          <w:szCs w:val="22"/>
          <w:lang w:val="es-ES"/>
        </w:rPr>
        <w:t>,</w:t>
      </w:r>
      <w:r w:rsidR="00D075C8" w:rsidRPr="005B57B7">
        <w:rPr>
          <w:rFonts w:ascii="Arial" w:hAnsi="Arial" w:cs="Arial"/>
          <w:sz w:val="22"/>
          <w:szCs w:val="22"/>
          <w:lang w:val="es-ES"/>
        </w:rPr>
        <w:t xml:space="preserve"> </w:t>
      </w:r>
      <w:r w:rsidR="00864A1D" w:rsidRPr="005B57B7">
        <w:rPr>
          <w:rFonts w:ascii="Arial" w:hAnsi="Arial" w:cs="Arial"/>
          <w:sz w:val="22"/>
          <w:szCs w:val="22"/>
          <w:lang w:val="es-ES"/>
        </w:rPr>
        <w:t xml:space="preserve">se pondrá a la disposición de bancos, corporaciones financieras, compañías de financiamiento y cooperativas financieras con cupo disponible en </w:t>
      </w:r>
      <w:r w:rsidR="00C136B7" w:rsidRPr="005B57B7">
        <w:rPr>
          <w:rFonts w:ascii="Arial" w:hAnsi="Arial" w:cs="Arial"/>
          <w:sz w:val="22"/>
          <w:szCs w:val="22"/>
          <w:lang w:val="es-ES"/>
        </w:rPr>
        <w:t>BANCÓLDEX</w:t>
      </w:r>
      <w:r w:rsidR="00864A1D" w:rsidRPr="005B57B7">
        <w:rPr>
          <w:rFonts w:ascii="Arial" w:hAnsi="Arial" w:cs="Arial"/>
          <w:sz w:val="22"/>
          <w:szCs w:val="22"/>
          <w:lang w:val="es-ES"/>
        </w:rPr>
        <w:t xml:space="preserve"> y </w:t>
      </w:r>
      <w:r w:rsidRPr="005B57B7">
        <w:rPr>
          <w:rFonts w:ascii="Arial" w:hAnsi="Arial" w:cs="Arial"/>
          <w:sz w:val="22"/>
          <w:szCs w:val="22"/>
          <w:lang w:val="es-ES"/>
        </w:rPr>
        <w:t>tendrá l</w:t>
      </w:r>
      <w:r w:rsidR="009B1804" w:rsidRPr="005B57B7">
        <w:rPr>
          <w:rFonts w:ascii="Arial" w:hAnsi="Arial" w:cs="Arial"/>
          <w:sz w:val="22"/>
          <w:szCs w:val="22"/>
          <w:lang w:val="es-ES"/>
        </w:rPr>
        <w:t>o</w:t>
      </w:r>
      <w:r w:rsidRPr="005B57B7">
        <w:rPr>
          <w:rFonts w:ascii="Arial" w:hAnsi="Arial" w:cs="Arial"/>
          <w:sz w:val="22"/>
          <w:szCs w:val="22"/>
          <w:lang w:val="es-ES"/>
        </w:rPr>
        <w:t>s siguientes parámetros:</w:t>
      </w:r>
    </w:p>
    <w:p w:rsidR="005D73E8" w:rsidRPr="005B57B7" w:rsidRDefault="009F35D0" w:rsidP="005D73E8">
      <w:pPr>
        <w:pStyle w:val="Heading2"/>
        <w:rPr>
          <w:color w:val="auto"/>
          <w:kern w:val="32"/>
          <w:sz w:val="28"/>
          <w:szCs w:val="32"/>
          <w:lang w:eastAsia="en-US"/>
        </w:rPr>
      </w:pPr>
      <w:bookmarkStart w:id="12" w:name="_Toc431307106"/>
      <w:r w:rsidRPr="005B57B7">
        <w:rPr>
          <w:color w:val="auto"/>
          <w:kern w:val="32"/>
          <w:sz w:val="28"/>
          <w:szCs w:val="32"/>
          <w:lang w:eastAsia="en-US"/>
        </w:rPr>
        <w:t>Beneficiarios</w:t>
      </w:r>
      <w:r w:rsidR="00E1743E" w:rsidRPr="005B57B7">
        <w:rPr>
          <w:color w:val="auto"/>
          <w:kern w:val="32"/>
          <w:sz w:val="28"/>
          <w:szCs w:val="32"/>
          <w:lang w:eastAsia="en-US"/>
        </w:rPr>
        <w:t xml:space="preserve"> elegibles</w:t>
      </w:r>
      <w:bookmarkEnd w:id="12"/>
      <w:r w:rsidRPr="005B57B7">
        <w:rPr>
          <w:color w:val="auto"/>
          <w:kern w:val="32"/>
          <w:sz w:val="28"/>
          <w:szCs w:val="32"/>
          <w:lang w:eastAsia="en-US"/>
        </w:rPr>
        <w:t xml:space="preserve"> </w:t>
      </w:r>
    </w:p>
    <w:p w:rsidR="00E1743E"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Personas naturales</w:t>
      </w:r>
      <w:r w:rsidR="002C1D63" w:rsidRPr="005B57B7">
        <w:rPr>
          <w:rFonts w:ascii="Arial" w:hAnsi="Arial" w:cs="Arial"/>
          <w:sz w:val="22"/>
          <w:szCs w:val="22"/>
          <w:lang w:val="es-ES" w:eastAsia="es-CO"/>
        </w:rPr>
        <w:t>;</w:t>
      </w:r>
      <w:r w:rsidRPr="005B57B7">
        <w:rPr>
          <w:rFonts w:ascii="Arial" w:hAnsi="Arial" w:cs="Arial"/>
          <w:sz w:val="22"/>
          <w:szCs w:val="22"/>
          <w:lang w:val="es-ES" w:eastAsia="es-CO"/>
        </w:rPr>
        <w:t xml:space="preserve"> </w:t>
      </w:r>
      <w:r w:rsidR="002C1D63" w:rsidRPr="005B57B7">
        <w:rPr>
          <w:rFonts w:ascii="Arial" w:hAnsi="Arial" w:cs="Arial"/>
          <w:sz w:val="22"/>
          <w:szCs w:val="22"/>
          <w:lang w:val="es-ES" w:eastAsia="es-CO"/>
        </w:rPr>
        <w:t xml:space="preserve">personas </w:t>
      </w:r>
      <w:r w:rsidRPr="005B57B7">
        <w:rPr>
          <w:rFonts w:ascii="Arial" w:hAnsi="Arial" w:cs="Arial"/>
          <w:sz w:val="22"/>
          <w:szCs w:val="22"/>
          <w:lang w:val="es-ES" w:eastAsia="es-CO"/>
        </w:rPr>
        <w:t>jurídicas</w:t>
      </w:r>
      <w:r w:rsidR="0091388F" w:rsidRPr="005B57B7">
        <w:rPr>
          <w:rFonts w:ascii="Arial" w:hAnsi="Arial" w:cs="Arial"/>
          <w:sz w:val="22"/>
          <w:szCs w:val="22"/>
          <w:lang w:val="es-ES" w:eastAsia="es-CO"/>
        </w:rPr>
        <w:t>, públicas o privadas, pequeñas</w:t>
      </w:r>
      <w:r w:rsidR="002C1D63" w:rsidRPr="005B57B7">
        <w:rPr>
          <w:rFonts w:ascii="Arial" w:hAnsi="Arial" w:cs="Arial"/>
          <w:sz w:val="22"/>
          <w:szCs w:val="22"/>
          <w:lang w:val="es-ES" w:eastAsia="es-CO"/>
        </w:rPr>
        <w:t>, mediana</w:t>
      </w:r>
      <w:r w:rsidR="0091388F" w:rsidRPr="005B57B7">
        <w:rPr>
          <w:rFonts w:ascii="Arial" w:hAnsi="Arial" w:cs="Arial"/>
          <w:sz w:val="22"/>
          <w:szCs w:val="22"/>
          <w:lang w:val="es-ES" w:eastAsia="es-CO"/>
        </w:rPr>
        <w:t>s y grandes</w:t>
      </w:r>
      <w:r w:rsidR="002C1D63" w:rsidRPr="005B57B7">
        <w:rPr>
          <w:rFonts w:ascii="Arial" w:hAnsi="Arial" w:cs="Arial"/>
          <w:sz w:val="22"/>
          <w:szCs w:val="22"/>
          <w:lang w:val="es-ES" w:eastAsia="es-CO"/>
        </w:rPr>
        <w:t>;</w:t>
      </w:r>
      <w:r w:rsidR="00366794" w:rsidRPr="005B57B7">
        <w:rPr>
          <w:rFonts w:ascii="Arial" w:hAnsi="Arial" w:cs="Arial"/>
          <w:sz w:val="22"/>
          <w:szCs w:val="22"/>
          <w:lang w:val="es-ES" w:eastAsia="es-CO"/>
        </w:rPr>
        <w:t xml:space="preserve"> operadoras de servicios energéticos en las ZNI</w:t>
      </w:r>
      <w:r w:rsidR="005043C8" w:rsidRPr="005B57B7">
        <w:rPr>
          <w:rFonts w:ascii="Arial" w:hAnsi="Arial" w:cs="Arial"/>
          <w:sz w:val="22"/>
          <w:szCs w:val="22"/>
          <w:lang w:val="es-ES" w:eastAsia="es-CO"/>
        </w:rPr>
        <w:t xml:space="preserve"> que tengan histórico crediticio</w:t>
      </w:r>
      <w:r w:rsidRPr="005B57B7">
        <w:rPr>
          <w:rFonts w:ascii="Arial" w:hAnsi="Arial" w:cs="Arial"/>
          <w:sz w:val="22"/>
          <w:szCs w:val="22"/>
          <w:lang w:val="es-ES" w:eastAsia="es-CO"/>
        </w:rPr>
        <w:t>.</w:t>
      </w:r>
      <w:r w:rsidR="0091388F" w:rsidRPr="005B57B7">
        <w:rPr>
          <w:rFonts w:ascii="Arial" w:hAnsi="Arial" w:cs="Arial"/>
          <w:sz w:val="22"/>
          <w:szCs w:val="22"/>
          <w:lang w:val="es-ES" w:eastAsia="es-CO"/>
        </w:rPr>
        <w:t xml:space="preserve"> </w:t>
      </w:r>
      <w:r w:rsidR="004A6D1A" w:rsidRPr="005B57B7">
        <w:rPr>
          <w:rFonts w:ascii="Arial" w:hAnsi="Arial" w:cs="Arial"/>
          <w:sz w:val="22"/>
          <w:szCs w:val="22"/>
          <w:lang w:val="es-ES" w:eastAsia="es-CO"/>
        </w:rPr>
        <w:t xml:space="preserve">Así </w:t>
      </w:r>
      <w:r w:rsidR="0091388F" w:rsidRPr="005B57B7">
        <w:rPr>
          <w:rFonts w:ascii="Arial" w:hAnsi="Arial" w:cs="Arial"/>
          <w:sz w:val="22"/>
          <w:szCs w:val="22"/>
          <w:lang w:val="es-ES" w:eastAsia="es-CO"/>
        </w:rPr>
        <w:t>mismo, empresas</w:t>
      </w:r>
      <w:r w:rsidR="002C1D63" w:rsidRPr="005B57B7">
        <w:rPr>
          <w:rFonts w:ascii="Arial" w:hAnsi="Arial" w:cs="Arial"/>
          <w:sz w:val="22"/>
          <w:szCs w:val="22"/>
          <w:lang w:val="es-ES" w:eastAsia="es-CO"/>
        </w:rPr>
        <w:t xml:space="preserve"> </w:t>
      </w:r>
      <w:r w:rsidR="0091388F" w:rsidRPr="005B57B7">
        <w:rPr>
          <w:rFonts w:ascii="Arial" w:hAnsi="Arial" w:cs="Arial"/>
          <w:sz w:val="22"/>
          <w:szCs w:val="22"/>
          <w:lang w:val="es-ES" w:eastAsia="es-CO"/>
        </w:rPr>
        <w:t xml:space="preserve">proveedoras de tecnologías, pequeñas, medianas o grandes, que vayan a implementar y poner en marcha proyectos de </w:t>
      </w:r>
      <w:r w:rsidR="005043C8" w:rsidRPr="005B57B7">
        <w:rPr>
          <w:rFonts w:ascii="Arial" w:hAnsi="Arial" w:cs="Arial"/>
          <w:sz w:val="22"/>
          <w:szCs w:val="22"/>
          <w:lang w:val="es-ES" w:eastAsia="es-CO"/>
        </w:rPr>
        <w:t xml:space="preserve">generación de </w:t>
      </w:r>
      <w:r w:rsidR="004A6E4B" w:rsidRPr="005B57B7">
        <w:rPr>
          <w:rFonts w:ascii="Arial" w:hAnsi="Arial" w:cs="Arial"/>
          <w:sz w:val="22"/>
          <w:szCs w:val="22"/>
          <w:lang w:val="es-ES" w:eastAsia="es-CO"/>
        </w:rPr>
        <w:t>energía renovable</w:t>
      </w:r>
      <w:r w:rsidR="0091388F" w:rsidRPr="005B57B7">
        <w:rPr>
          <w:rFonts w:ascii="Arial" w:hAnsi="Arial" w:cs="Arial"/>
          <w:sz w:val="22"/>
          <w:szCs w:val="22"/>
          <w:lang w:val="es-ES" w:eastAsia="es-CO"/>
        </w:rPr>
        <w:t xml:space="preserve"> elegibles en </w:t>
      </w:r>
      <w:r w:rsidR="00366794" w:rsidRPr="005B57B7">
        <w:rPr>
          <w:rFonts w:ascii="Arial" w:hAnsi="Arial" w:cs="Arial"/>
          <w:sz w:val="22"/>
          <w:szCs w:val="22"/>
          <w:lang w:val="es-ES" w:eastAsia="es-CO"/>
        </w:rPr>
        <w:t>las ZNIs</w:t>
      </w:r>
      <w:r w:rsidR="0091388F" w:rsidRPr="005B57B7">
        <w:rPr>
          <w:rFonts w:ascii="Arial" w:hAnsi="Arial" w:cs="Arial"/>
          <w:sz w:val="22"/>
          <w:szCs w:val="22"/>
          <w:lang w:val="es-ES" w:eastAsia="es-CO"/>
        </w:rPr>
        <w:t>.</w:t>
      </w:r>
    </w:p>
    <w:p w:rsidR="005D73E8" w:rsidRPr="005B57B7" w:rsidRDefault="004A6E4B" w:rsidP="005D73E8">
      <w:pPr>
        <w:pStyle w:val="Heading2"/>
        <w:rPr>
          <w:color w:val="auto"/>
          <w:kern w:val="32"/>
          <w:sz w:val="28"/>
          <w:szCs w:val="32"/>
          <w:lang w:eastAsia="en-US"/>
        </w:rPr>
      </w:pPr>
      <w:bookmarkStart w:id="13" w:name="_Toc431307107"/>
      <w:r w:rsidRPr="005B57B7">
        <w:rPr>
          <w:color w:val="auto"/>
          <w:kern w:val="32"/>
          <w:sz w:val="28"/>
          <w:szCs w:val="32"/>
          <w:lang w:eastAsia="en-US"/>
        </w:rPr>
        <w:t xml:space="preserve">Tecnologías </w:t>
      </w:r>
      <w:r w:rsidR="005D73E8" w:rsidRPr="005B57B7">
        <w:rPr>
          <w:color w:val="auto"/>
          <w:kern w:val="32"/>
          <w:sz w:val="28"/>
          <w:szCs w:val="32"/>
          <w:lang w:eastAsia="en-US"/>
        </w:rPr>
        <w:t>elegibles</w:t>
      </w:r>
      <w:bookmarkEnd w:id="13"/>
      <w:r w:rsidR="00E1743E" w:rsidRPr="005B57B7">
        <w:rPr>
          <w:color w:val="auto"/>
          <w:kern w:val="32"/>
          <w:sz w:val="28"/>
          <w:szCs w:val="32"/>
          <w:lang w:eastAsia="en-US"/>
        </w:rPr>
        <w:t xml:space="preserve"> </w:t>
      </w:r>
    </w:p>
    <w:p w:rsidR="009F35D0" w:rsidRPr="005B57B7" w:rsidRDefault="009265B8" w:rsidP="004B0E2A">
      <w:pPr>
        <w:jc w:val="both"/>
        <w:rPr>
          <w:rFonts w:ascii="Arial" w:hAnsi="Arial" w:cs="Arial"/>
          <w:sz w:val="22"/>
          <w:szCs w:val="22"/>
          <w:lang w:val="es-ES" w:eastAsia="es-CO"/>
        </w:rPr>
      </w:pPr>
      <w:r w:rsidRPr="005B57B7">
        <w:rPr>
          <w:rFonts w:ascii="Arial" w:hAnsi="Arial" w:cs="Arial"/>
          <w:sz w:val="22"/>
          <w:szCs w:val="22"/>
          <w:lang w:val="es-ES" w:eastAsia="es-CO"/>
        </w:rPr>
        <w:t>Serán</w:t>
      </w:r>
      <w:r w:rsidR="00E1743E" w:rsidRPr="005B57B7">
        <w:rPr>
          <w:rFonts w:ascii="Arial" w:hAnsi="Arial" w:cs="Arial"/>
          <w:sz w:val="22"/>
          <w:szCs w:val="22"/>
          <w:lang w:val="es-ES" w:eastAsia="es-CO"/>
        </w:rPr>
        <w:t xml:space="preserve"> elegibles bajo este Cupo Especial de Crédito proyectos que contemplen la </w:t>
      </w:r>
      <w:r w:rsidR="004626C5" w:rsidRPr="005B57B7">
        <w:rPr>
          <w:rFonts w:ascii="Arial" w:hAnsi="Arial" w:cs="Arial"/>
          <w:sz w:val="22"/>
          <w:szCs w:val="22"/>
          <w:lang w:val="es-ES" w:eastAsia="es-CO"/>
        </w:rPr>
        <w:t>adopción</w:t>
      </w:r>
      <w:r w:rsidR="00E1743E" w:rsidRPr="005B57B7">
        <w:rPr>
          <w:rFonts w:ascii="Arial" w:hAnsi="Arial" w:cs="Arial"/>
          <w:sz w:val="22"/>
          <w:szCs w:val="22"/>
          <w:lang w:val="es-ES" w:eastAsia="es-CO"/>
        </w:rPr>
        <w:t xml:space="preserve"> de las siguientes tecnologías</w:t>
      </w:r>
      <w:r w:rsidR="009118BE" w:rsidRPr="005B57B7">
        <w:rPr>
          <w:rFonts w:ascii="Arial" w:hAnsi="Arial" w:cs="Arial"/>
          <w:sz w:val="22"/>
          <w:szCs w:val="22"/>
          <w:lang w:val="es-ES" w:eastAsia="es-CO"/>
        </w:rPr>
        <w:t xml:space="preserve"> de fuentes de energía renovable convencionales y no convencionales, de acuerdo con las definiciones de la </w:t>
      </w:r>
      <w:hyperlink r:id="rId11" w:history="1">
        <w:r w:rsidR="009118BE" w:rsidRPr="005B57B7">
          <w:rPr>
            <w:rStyle w:val="Hyperlink"/>
            <w:rFonts w:ascii="Arial" w:hAnsi="Arial"/>
            <w:color w:val="0066FF"/>
            <w:sz w:val="22"/>
            <w:szCs w:val="22"/>
            <w:u w:val="single"/>
            <w:lang w:val="es-ES" w:eastAsia="es-CO"/>
          </w:rPr>
          <w:t>ley 1715 de 2014</w:t>
        </w:r>
      </w:hyperlink>
      <w:r w:rsidR="005043C8" w:rsidRPr="005B57B7">
        <w:rPr>
          <w:rFonts w:ascii="Arial" w:hAnsi="Arial" w:cs="Arial"/>
          <w:sz w:val="22"/>
          <w:szCs w:val="22"/>
          <w:lang w:val="es-ES" w:eastAsia="es-CO"/>
        </w:rPr>
        <w:t>: hibrida (solar-diésel</w:t>
      </w:r>
      <w:r w:rsidR="005043C8" w:rsidRPr="005B57B7">
        <w:rPr>
          <w:rStyle w:val="FootnoteReference"/>
          <w:rFonts w:ascii="Arial" w:hAnsi="Arial"/>
          <w:sz w:val="22"/>
          <w:szCs w:val="22"/>
          <w:vertAlign w:val="superscript"/>
          <w:lang w:val="es-ES" w:eastAsia="es-CO"/>
        </w:rPr>
        <w:footnoteReference w:id="4"/>
      </w:r>
      <w:r w:rsidR="005043C8" w:rsidRPr="005B57B7">
        <w:rPr>
          <w:rFonts w:ascii="Arial" w:hAnsi="Arial" w:cs="Arial"/>
          <w:sz w:val="22"/>
          <w:szCs w:val="22"/>
          <w:lang w:val="es-ES" w:eastAsia="es-CO"/>
        </w:rPr>
        <w:t>), solar, pequeñas centrales hidroeléctricas (PCH) y biomasa (de residuos agrícolas).</w:t>
      </w:r>
      <w:r w:rsidR="009118BE" w:rsidRPr="005B57B7">
        <w:rPr>
          <w:rFonts w:ascii="Arial" w:hAnsi="Arial" w:cs="Arial"/>
          <w:sz w:val="22"/>
          <w:szCs w:val="22"/>
          <w:lang w:val="es-ES" w:eastAsia="es-CO"/>
        </w:rPr>
        <w:t xml:space="preserve"> </w:t>
      </w:r>
      <w:r w:rsidR="00850172" w:rsidRPr="005B57B7">
        <w:rPr>
          <w:rFonts w:ascii="Arial" w:hAnsi="Arial" w:cs="Arial"/>
          <w:sz w:val="22"/>
          <w:szCs w:val="22"/>
          <w:lang w:val="es-ES" w:eastAsia="es-CO"/>
        </w:rPr>
        <w:t xml:space="preserve"> </w:t>
      </w:r>
    </w:p>
    <w:p w:rsidR="005D73E8" w:rsidRPr="005B57B7" w:rsidRDefault="009F35D0" w:rsidP="005D73E8">
      <w:pPr>
        <w:pStyle w:val="Heading2"/>
        <w:rPr>
          <w:color w:val="auto"/>
          <w:kern w:val="32"/>
          <w:sz w:val="28"/>
          <w:szCs w:val="32"/>
          <w:lang w:eastAsia="en-US"/>
        </w:rPr>
      </w:pPr>
      <w:bookmarkStart w:id="14" w:name="_Toc431307108"/>
      <w:r w:rsidRPr="005B57B7">
        <w:rPr>
          <w:color w:val="auto"/>
          <w:kern w:val="32"/>
          <w:sz w:val="28"/>
          <w:szCs w:val="32"/>
          <w:lang w:eastAsia="en-US"/>
        </w:rPr>
        <w:t>Periodicidad amortización de capital</w:t>
      </w:r>
      <w:bookmarkEnd w:id="14"/>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Cuotas mensuales, trimestrales o</w:t>
      </w:r>
      <w:r w:rsidR="005C724D" w:rsidRPr="005B57B7">
        <w:rPr>
          <w:rFonts w:ascii="Arial" w:hAnsi="Arial" w:cs="Arial"/>
          <w:sz w:val="22"/>
          <w:szCs w:val="22"/>
          <w:lang w:val="es-ES" w:eastAsia="es-CO"/>
        </w:rPr>
        <w:t xml:space="preserve"> </w:t>
      </w:r>
      <w:r w:rsidRPr="005B57B7">
        <w:rPr>
          <w:rFonts w:ascii="Arial" w:hAnsi="Arial" w:cs="Arial"/>
          <w:sz w:val="22"/>
          <w:szCs w:val="22"/>
          <w:lang w:val="es-ES" w:eastAsia="es-CO"/>
        </w:rPr>
        <w:t>semestrales iguales.</w:t>
      </w:r>
    </w:p>
    <w:p w:rsidR="005D73E8" w:rsidRPr="005B57B7" w:rsidRDefault="009F35D0" w:rsidP="005D73E8">
      <w:pPr>
        <w:pStyle w:val="Heading2"/>
        <w:rPr>
          <w:color w:val="auto"/>
          <w:kern w:val="32"/>
          <w:sz w:val="28"/>
          <w:szCs w:val="32"/>
          <w:lang w:eastAsia="en-US"/>
        </w:rPr>
      </w:pPr>
      <w:bookmarkStart w:id="15" w:name="_Toc431307109"/>
      <w:r w:rsidRPr="005B57B7">
        <w:rPr>
          <w:color w:val="auto"/>
          <w:kern w:val="32"/>
          <w:sz w:val="28"/>
          <w:szCs w:val="32"/>
          <w:lang w:eastAsia="en-US"/>
        </w:rPr>
        <w:t>Pago de intereses</w:t>
      </w:r>
      <w:bookmarkEnd w:id="15"/>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En su equivalente mes, trimestre o semestre vencido.</w:t>
      </w:r>
    </w:p>
    <w:p w:rsidR="005D73E8" w:rsidRPr="005B57B7" w:rsidRDefault="009F35D0" w:rsidP="005D73E8">
      <w:pPr>
        <w:pStyle w:val="Heading2"/>
        <w:rPr>
          <w:color w:val="auto"/>
          <w:kern w:val="32"/>
          <w:sz w:val="28"/>
          <w:szCs w:val="32"/>
          <w:lang w:eastAsia="en-US"/>
        </w:rPr>
      </w:pPr>
      <w:bookmarkStart w:id="16" w:name="_Toc431307110"/>
      <w:r w:rsidRPr="005B57B7">
        <w:rPr>
          <w:color w:val="auto"/>
          <w:kern w:val="32"/>
          <w:sz w:val="28"/>
          <w:szCs w:val="32"/>
          <w:lang w:eastAsia="en-US"/>
        </w:rPr>
        <w:t>Plazo</w:t>
      </w:r>
      <w:bookmarkEnd w:id="16"/>
      <w:r w:rsidRPr="005B57B7">
        <w:rPr>
          <w:color w:val="auto"/>
          <w:kern w:val="32"/>
          <w:sz w:val="28"/>
          <w:szCs w:val="32"/>
          <w:lang w:eastAsia="en-US"/>
        </w:rPr>
        <w:t xml:space="preserve"> </w:t>
      </w:r>
    </w:p>
    <w:p w:rsidR="009F35D0" w:rsidRPr="005B57B7" w:rsidRDefault="0043599A" w:rsidP="004B0E2A">
      <w:pPr>
        <w:jc w:val="both"/>
        <w:rPr>
          <w:rFonts w:ascii="Arial" w:hAnsi="Arial" w:cs="Arial"/>
          <w:sz w:val="22"/>
          <w:szCs w:val="22"/>
          <w:lang w:val="es-ES" w:eastAsia="es-CO"/>
        </w:rPr>
      </w:pPr>
      <w:r w:rsidRPr="005B57B7">
        <w:rPr>
          <w:rFonts w:ascii="Arial" w:hAnsi="Arial" w:cs="Arial"/>
          <w:sz w:val="22"/>
          <w:szCs w:val="22"/>
          <w:lang w:val="es-ES" w:eastAsia="es-CO"/>
        </w:rPr>
        <w:t>Mediano y l</w:t>
      </w:r>
      <w:r w:rsidR="009F35D0" w:rsidRPr="005B57B7">
        <w:rPr>
          <w:rFonts w:ascii="Arial" w:hAnsi="Arial" w:cs="Arial"/>
          <w:sz w:val="22"/>
          <w:szCs w:val="22"/>
          <w:lang w:val="es-ES" w:eastAsia="es-CO"/>
        </w:rPr>
        <w:t>argo plazo</w:t>
      </w:r>
      <w:r w:rsidR="00BE3C0C" w:rsidRPr="005B57B7">
        <w:rPr>
          <w:rFonts w:ascii="Arial" w:hAnsi="Arial" w:cs="Arial"/>
          <w:sz w:val="22"/>
          <w:szCs w:val="22"/>
          <w:lang w:val="es-ES" w:eastAsia="es-CO"/>
        </w:rPr>
        <w:t xml:space="preserve">, como mínimo de </w:t>
      </w:r>
      <w:r w:rsidR="005043C8" w:rsidRPr="005B57B7">
        <w:rPr>
          <w:rFonts w:ascii="Arial" w:hAnsi="Arial" w:cs="Arial"/>
          <w:sz w:val="22"/>
          <w:szCs w:val="22"/>
          <w:lang w:val="es-ES" w:eastAsia="es-CO"/>
        </w:rPr>
        <w:t>dos</w:t>
      </w:r>
      <w:r w:rsidR="004A6E4B" w:rsidRPr="005B57B7">
        <w:rPr>
          <w:rFonts w:ascii="Arial" w:hAnsi="Arial" w:cs="Arial"/>
          <w:sz w:val="22"/>
          <w:szCs w:val="22"/>
          <w:lang w:val="es-ES" w:eastAsia="es-CO"/>
        </w:rPr>
        <w:t xml:space="preserve"> </w:t>
      </w:r>
      <w:r w:rsidR="00BE3C0C" w:rsidRPr="005B57B7">
        <w:rPr>
          <w:rFonts w:ascii="Arial" w:hAnsi="Arial" w:cs="Arial"/>
          <w:sz w:val="22"/>
          <w:szCs w:val="22"/>
          <w:lang w:val="es-ES" w:eastAsia="es-CO"/>
        </w:rPr>
        <w:t>años</w:t>
      </w:r>
      <w:r w:rsidR="005043C8" w:rsidRPr="005B57B7">
        <w:rPr>
          <w:rFonts w:ascii="Arial" w:hAnsi="Arial" w:cs="Arial"/>
          <w:sz w:val="22"/>
          <w:szCs w:val="22"/>
          <w:lang w:val="es-ES" w:eastAsia="es-CO"/>
        </w:rPr>
        <w:t xml:space="preserve"> y en condiciones necesarias para los pazos de amortización en el mercado de las tecnologías elegibles en el programa. </w:t>
      </w:r>
    </w:p>
    <w:p w:rsidR="005D73E8" w:rsidRPr="005B57B7" w:rsidRDefault="009F35D0" w:rsidP="005D73E8">
      <w:pPr>
        <w:pStyle w:val="Heading2"/>
        <w:rPr>
          <w:color w:val="auto"/>
          <w:kern w:val="32"/>
          <w:sz w:val="28"/>
          <w:szCs w:val="32"/>
          <w:lang w:eastAsia="en-US"/>
        </w:rPr>
      </w:pPr>
      <w:bookmarkStart w:id="17" w:name="_Toc431307111"/>
      <w:r w:rsidRPr="005B57B7">
        <w:rPr>
          <w:color w:val="auto"/>
          <w:kern w:val="32"/>
          <w:sz w:val="28"/>
          <w:szCs w:val="32"/>
          <w:lang w:eastAsia="en-US"/>
        </w:rPr>
        <w:t>Periodo de gracia a capital</w:t>
      </w:r>
      <w:bookmarkEnd w:id="17"/>
      <w:r w:rsidRPr="005B57B7">
        <w:rPr>
          <w:color w:val="auto"/>
          <w:kern w:val="32"/>
          <w:sz w:val="28"/>
          <w:szCs w:val="32"/>
          <w:lang w:eastAsia="en-US"/>
        </w:rPr>
        <w:t xml:space="preserve"> </w:t>
      </w:r>
    </w:p>
    <w:p w:rsidR="009F35D0"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Hasta un (1) año.</w:t>
      </w:r>
    </w:p>
    <w:p w:rsidR="005D73E8" w:rsidRPr="005B57B7" w:rsidRDefault="009F35D0" w:rsidP="005D73E8">
      <w:pPr>
        <w:pStyle w:val="Heading2"/>
        <w:rPr>
          <w:color w:val="auto"/>
          <w:kern w:val="32"/>
          <w:sz w:val="28"/>
          <w:szCs w:val="32"/>
          <w:lang w:eastAsia="en-US"/>
        </w:rPr>
      </w:pPr>
      <w:bookmarkStart w:id="18" w:name="_Toc431307112"/>
      <w:r w:rsidRPr="005B57B7">
        <w:rPr>
          <w:color w:val="auto"/>
          <w:kern w:val="32"/>
          <w:sz w:val="28"/>
          <w:szCs w:val="32"/>
          <w:lang w:eastAsia="en-US"/>
        </w:rPr>
        <w:t>Tasa de redescuento</w:t>
      </w:r>
      <w:bookmarkEnd w:id="18"/>
      <w:r w:rsidRPr="005B57B7">
        <w:rPr>
          <w:color w:val="auto"/>
          <w:kern w:val="32"/>
          <w:sz w:val="28"/>
          <w:szCs w:val="32"/>
          <w:lang w:eastAsia="en-US"/>
        </w:rPr>
        <w:t xml:space="preserve"> </w:t>
      </w:r>
    </w:p>
    <w:p w:rsidR="009F35D0" w:rsidRPr="005B57B7" w:rsidRDefault="005D73E8" w:rsidP="004B0E2A">
      <w:pPr>
        <w:jc w:val="both"/>
        <w:rPr>
          <w:rFonts w:ascii="Arial" w:hAnsi="Arial" w:cs="Arial"/>
          <w:sz w:val="22"/>
          <w:szCs w:val="22"/>
          <w:lang w:val="es-ES" w:eastAsia="es-ES"/>
        </w:rPr>
      </w:pPr>
      <w:r w:rsidRPr="005B57B7">
        <w:rPr>
          <w:rFonts w:ascii="Arial" w:hAnsi="Arial" w:cs="Arial"/>
          <w:sz w:val="22"/>
          <w:szCs w:val="22"/>
          <w:lang w:val="es-ES" w:eastAsia="es-ES"/>
        </w:rPr>
        <w:t>I</w:t>
      </w:r>
      <w:r w:rsidR="009F35D0" w:rsidRPr="005B57B7">
        <w:rPr>
          <w:rFonts w:ascii="Arial" w:hAnsi="Arial" w:cs="Arial"/>
          <w:sz w:val="22"/>
          <w:szCs w:val="22"/>
          <w:lang w:val="es-ES" w:eastAsia="es-ES"/>
        </w:rPr>
        <w:t xml:space="preserve">gual o </w:t>
      </w:r>
      <w:r w:rsidR="0091388F" w:rsidRPr="005B57B7">
        <w:rPr>
          <w:rFonts w:ascii="Arial" w:hAnsi="Arial" w:cs="Arial"/>
          <w:sz w:val="22"/>
          <w:szCs w:val="22"/>
          <w:lang w:val="es-ES" w:eastAsia="es-ES"/>
        </w:rPr>
        <w:t xml:space="preserve">ligeramente superior </w:t>
      </w:r>
      <w:r w:rsidR="009F35D0" w:rsidRPr="005B57B7">
        <w:rPr>
          <w:rFonts w:ascii="Arial" w:hAnsi="Arial" w:cs="Arial"/>
          <w:sz w:val="22"/>
          <w:szCs w:val="22"/>
          <w:lang w:val="es-ES" w:eastAsia="es-ES"/>
        </w:rPr>
        <w:t>a la tasa media de fondeo del mercado</w:t>
      </w:r>
      <w:r w:rsidR="0043599A" w:rsidRPr="005B57B7">
        <w:rPr>
          <w:rFonts w:ascii="Arial" w:hAnsi="Arial" w:cs="Arial"/>
          <w:sz w:val="22"/>
          <w:szCs w:val="22"/>
          <w:lang w:val="es-ES" w:eastAsia="es-ES"/>
        </w:rPr>
        <w:t>,</w:t>
      </w:r>
      <w:r w:rsidR="004B0E2A" w:rsidRPr="005B57B7">
        <w:rPr>
          <w:rFonts w:ascii="Arial" w:hAnsi="Arial" w:cs="Arial"/>
          <w:sz w:val="22"/>
          <w:szCs w:val="22"/>
          <w:lang w:val="es-ES" w:eastAsia="es-ES"/>
        </w:rPr>
        <w:t xml:space="preserve"> </w:t>
      </w:r>
      <w:r w:rsidR="009F35D0" w:rsidRPr="005B57B7">
        <w:rPr>
          <w:rFonts w:ascii="Arial" w:hAnsi="Arial" w:cs="Arial"/>
          <w:sz w:val="22"/>
          <w:szCs w:val="22"/>
          <w:lang w:val="es-ES"/>
        </w:rPr>
        <w:t>por ejemplo DTF</w:t>
      </w:r>
      <w:r w:rsidR="00D075C8" w:rsidRPr="005B57B7">
        <w:rPr>
          <w:rFonts w:ascii="Arial" w:hAnsi="Arial" w:cs="Arial"/>
          <w:sz w:val="22"/>
          <w:szCs w:val="22"/>
          <w:lang w:val="es-ES"/>
        </w:rPr>
        <w:t xml:space="preserve"> para operaciones en Pesos Colombianos</w:t>
      </w:r>
      <w:r w:rsidR="009F35D0" w:rsidRPr="005B57B7">
        <w:rPr>
          <w:rFonts w:ascii="Arial" w:hAnsi="Arial" w:cs="Arial"/>
          <w:sz w:val="22"/>
          <w:szCs w:val="22"/>
          <w:lang w:val="es-ES" w:eastAsia="es-ES"/>
        </w:rPr>
        <w:t>.</w:t>
      </w:r>
    </w:p>
    <w:p w:rsidR="005D73E8" w:rsidRPr="005B57B7" w:rsidRDefault="009F35D0" w:rsidP="005D73E8">
      <w:pPr>
        <w:pStyle w:val="Heading2"/>
        <w:rPr>
          <w:color w:val="auto"/>
          <w:kern w:val="32"/>
          <w:sz w:val="28"/>
          <w:szCs w:val="32"/>
          <w:lang w:eastAsia="en-US"/>
        </w:rPr>
      </w:pPr>
      <w:bookmarkStart w:id="19" w:name="_Toc431307113"/>
      <w:r w:rsidRPr="005B57B7">
        <w:rPr>
          <w:color w:val="auto"/>
          <w:kern w:val="32"/>
          <w:sz w:val="28"/>
          <w:szCs w:val="32"/>
          <w:lang w:eastAsia="en-US"/>
        </w:rPr>
        <w:t>Tasa de interés al empresario</w:t>
      </w:r>
      <w:bookmarkEnd w:id="19"/>
      <w:r w:rsidRPr="005B57B7">
        <w:rPr>
          <w:color w:val="auto"/>
          <w:kern w:val="32"/>
          <w:sz w:val="28"/>
          <w:szCs w:val="32"/>
          <w:lang w:eastAsia="en-US"/>
        </w:rPr>
        <w:t xml:space="preserve"> </w:t>
      </w:r>
    </w:p>
    <w:p w:rsidR="005C724D" w:rsidRPr="005B57B7" w:rsidRDefault="009F35D0" w:rsidP="004B0E2A">
      <w:pPr>
        <w:jc w:val="both"/>
        <w:rPr>
          <w:rFonts w:ascii="Arial" w:hAnsi="Arial" w:cs="Arial"/>
          <w:sz w:val="22"/>
          <w:szCs w:val="22"/>
          <w:lang w:val="es-ES" w:eastAsia="es-CO"/>
        </w:rPr>
      </w:pPr>
      <w:r w:rsidRPr="005B57B7">
        <w:rPr>
          <w:rFonts w:ascii="Arial" w:hAnsi="Arial" w:cs="Arial"/>
          <w:sz w:val="22"/>
          <w:szCs w:val="22"/>
          <w:lang w:val="es-ES" w:eastAsia="es-CO"/>
        </w:rPr>
        <w:t xml:space="preserve">Libremente pactada entre el </w:t>
      </w:r>
      <w:r w:rsidR="005C724D" w:rsidRPr="005B57B7">
        <w:rPr>
          <w:rFonts w:ascii="Arial" w:hAnsi="Arial" w:cs="Arial"/>
          <w:sz w:val="22"/>
          <w:szCs w:val="22"/>
          <w:lang w:val="es-ES" w:eastAsia="es-CO"/>
        </w:rPr>
        <w:t xml:space="preserve">ente crediticio y </w:t>
      </w:r>
      <w:r w:rsidRPr="005B57B7">
        <w:rPr>
          <w:rFonts w:ascii="Arial" w:hAnsi="Arial" w:cs="Arial"/>
          <w:sz w:val="22"/>
          <w:szCs w:val="22"/>
          <w:lang w:val="es-ES" w:eastAsia="es-CO"/>
        </w:rPr>
        <w:t>el beneficiario del crédito.</w:t>
      </w:r>
    </w:p>
    <w:p w:rsidR="001C091D" w:rsidRPr="005B57B7" w:rsidRDefault="001C091D" w:rsidP="00F736FC">
      <w:pPr>
        <w:autoSpaceDE w:val="0"/>
        <w:autoSpaceDN w:val="0"/>
        <w:adjustRightInd w:val="0"/>
        <w:jc w:val="both"/>
        <w:rPr>
          <w:rFonts w:ascii="Arial" w:hAnsi="Arial" w:cs="Arial"/>
          <w:sz w:val="22"/>
          <w:szCs w:val="22"/>
          <w:lang w:val="es-ES" w:eastAsia="es-ES"/>
        </w:rPr>
      </w:pPr>
    </w:p>
    <w:p w:rsidR="00622CC4" w:rsidRPr="005B57B7" w:rsidRDefault="0050047E" w:rsidP="004B0E2A">
      <w:pPr>
        <w:jc w:val="both"/>
        <w:rPr>
          <w:rFonts w:ascii="Arial" w:hAnsi="Arial" w:cs="Arial"/>
          <w:sz w:val="22"/>
          <w:szCs w:val="22"/>
          <w:lang w:val="es-ES" w:eastAsia="es-ES"/>
        </w:rPr>
      </w:pPr>
      <w:r w:rsidRPr="005B57B7">
        <w:rPr>
          <w:rFonts w:ascii="Arial" w:hAnsi="Arial" w:cs="Arial"/>
          <w:sz w:val="22"/>
          <w:szCs w:val="22"/>
          <w:lang w:val="es-ES" w:eastAsia="es-ES"/>
        </w:rPr>
        <w:lastRenderedPageBreak/>
        <w:t xml:space="preserve">Para conocer las condiciones financieras de </w:t>
      </w:r>
      <w:r w:rsidR="0091388F" w:rsidRPr="005B57B7">
        <w:rPr>
          <w:rFonts w:ascii="Arial" w:hAnsi="Arial" w:cs="Arial"/>
          <w:sz w:val="22"/>
          <w:szCs w:val="22"/>
          <w:lang w:val="es-ES" w:eastAsia="es-ES"/>
        </w:rPr>
        <w:t xml:space="preserve">este cupo especial de crédito </w:t>
      </w:r>
      <w:r w:rsidRPr="005B57B7">
        <w:rPr>
          <w:rFonts w:ascii="Arial" w:hAnsi="Arial" w:cs="Arial"/>
          <w:sz w:val="22"/>
          <w:szCs w:val="22"/>
          <w:lang w:val="es-ES" w:eastAsia="es-ES"/>
        </w:rPr>
        <w:t xml:space="preserve">se </w:t>
      </w:r>
      <w:r w:rsidR="0043599A" w:rsidRPr="005B57B7">
        <w:rPr>
          <w:rFonts w:ascii="Arial" w:hAnsi="Arial" w:cs="Arial"/>
          <w:sz w:val="22"/>
          <w:szCs w:val="22"/>
          <w:lang w:val="es-ES" w:eastAsia="es-ES"/>
        </w:rPr>
        <w:t xml:space="preserve">podrá </w:t>
      </w:r>
      <w:r w:rsidRPr="005B57B7">
        <w:rPr>
          <w:rFonts w:ascii="Arial" w:hAnsi="Arial" w:cs="Arial"/>
          <w:sz w:val="22"/>
          <w:szCs w:val="22"/>
          <w:lang w:val="es-ES" w:eastAsia="es-ES"/>
        </w:rPr>
        <w:t xml:space="preserve">remitir a la página Web de </w:t>
      </w:r>
      <w:r w:rsidR="00C136B7" w:rsidRPr="005B57B7">
        <w:rPr>
          <w:rFonts w:ascii="Arial" w:hAnsi="Arial" w:cs="Arial"/>
          <w:sz w:val="22"/>
          <w:szCs w:val="22"/>
          <w:lang w:val="es-ES" w:eastAsia="es-ES"/>
        </w:rPr>
        <w:t>BANCÓLDEX</w:t>
      </w:r>
      <w:r w:rsidR="009118BE" w:rsidRPr="005B57B7">
        <w:rPr>
          <w:rFonts w:ascii="Arial" w:hAnsi="Arial" w:cs="Arial"/>
          <w:sz w:val="22"/>
          <w:szCs w:val="22"/>
          <w:lang w:val="es-ES" w:eastAsia="es-ES"/>
        </w:rPr>
        <w:t xml:space="preserve">. </w:t>
      </w:r>
      <w:bookmarkStart w:id="20" w:name="OLE_LINK1"/>
    </w:p>
    <w:p w:rsidR="00622CC4" w:rsidRPr="005B57B7" w:rsidRDefault="00622CC4" w:rsidP="00E7250B">
      <w:pPr>
        <w:pStyle w:val="Heading1"/>
        <w:rPr>
          <w:sz w:val="28"/>
          <w:szCs w:val="24"/>
          <w:lang w:val="es-ES"/>
        </w:rPr>
      </w:pPr>
      <w:bookmarkStart w:id="21" w:name="_Toc389663303"/>
      <w:bookmarkStart w:id="22" w:name="_Toc428252151"/>
      <w:bookmarkStart w:id="23" w:name="_Toc431307114"/>
      <w:r w:rsidRPr="005B57B7">
        <w:rPr>
          <w:sz w:val="28"/>
          <w:szCs w:val="24"/>
          <w:lang w:val="es-ES"/>
        </w:rPr>
        <w:t xml:space="preserve">Régimen de Habilitación de </w:t>
      </w:r>
      <w:bookmarkEnd w:id="21"/>
      <w:bookmarkEnd w:id="22"/>
      <w:r w:rsidR="00B72CF0" w:rsidRPr="005B57B7">
        <w:rPr>
          <w:sz w:val="28"/>
          <w:szCs w:val="24"/>
          <w:lang w:val="es-ES"/>
        </w:rPr>
        <w:t>los Entes Crediticios (instituciones Financieras Locales)</w:t>
      </w:r>
      <w:bookmarkEnd w:id="23"/>
    </w:p>
    <w:p w:rsidR="00622CC4" w:rsidRPr="005B57B7" w:rsidRDefault="00622CC4" w:rsidP="00622CC4">
      <w:pPr>
        <w:pStyle w:val="Heading2"/>
        <w:tabs>
          <w:tab w:val="clear" w:pos="1836"/>
        </w:tabs>
        <w:ind w:left="1440" w:hanging="990"/>
        <w:jc w:val="both"/>
        <w:rPr>
          <w:color w:val="auto"/>
          <w:kern w:val="32"/>
          <w:sz w:val="28"/>
          <w:szCs w:val="24"/>
          <w:lang w:eastAsia="en-US"/>
        </w:rPr>
      </w:pPr>
      <w:bookmarkStart w:id="24" w:name="_Toc428252152"/>
      <w:bookmarkStart w:id="25" w:name="_Toc431307115"/>
      <w:r w:rsidRPr="005B57B7">
        <w:rPr>
          <w:color w:val="auto"/>
          <w:kern w:val="32"/>
          <w:sz w:val="28"/>
          <w:szCs w:val="24"/>
          <w:lang w:eastAsia="en-US"/>
        </w:rPr>
        <w:t>Instituciones Elegibles</w:t>
      </w:r>
      <w:bookmarkEnd w:id="24"/>
      <w:bookmarkEnd w:id="25"/>
      <w:r w:rsidRPr="005B57B7">
        <w:rPr>
          <w:color w:val="auto"/>
          <w:kern w:val="32"/>
          <w:sz w:val="28"/>
          <w:szCs w:val="24"/>
          <w:lang w:eastAsia="en-U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Podrán participar en el Programa, l</w:t>
      </w:r>
      <w:r w:rsidR="00B72CF0" w:rsidRPr="005B57B7">
        <w:rPr>
          <w:rFonts w:ascii="Arial" w:hAnsi="Arial" w:cs="Arial"/>
          <w:sz w:val="22"/>
          <w:szCs w:val="22"/>
          <w:lang w:val="es-ES"/>
        </w:rPr>
        <w:t>o</w:t>
      </w:r>
      <w:r w:rsidRPr="005B57B7">
        <w:rPr>
          <w:rFonts w:ascii="Arial" w:hAnsi="Arial" w:cs="Arial"/>
          <w:sz w:val="22"/>
          <w:szCs w:val="22"/>
          <w:lang w:val="es-ES"/>
        </w:rPr>
        <w:t xml:space="preserve">s </w:t>
      </w:r>
      <w:r w:rsidR="00B72CF0" w:rsidRPr="005B57B7">
        <w:rPr>
          <w:rFonts w:ascii="Arial" w:hAnsi="Arial" w:cs="Arial"/>
          <w:sz w:val="22"/>
          <w:szCs w:val="22"/>
          <w:lang w:val="es-ES"/>
        </w:rPr>
        <w:t>Entes Crediticios autorizado</w:t>
      </w:r>
      <w:r w:rsidRPr="005B57B7">
        <w:rPr>
          <w:rFonts w:ascii="Arial" w:hAnsi="Arial" w:cs="Arial"/>
          <w:sz w:val="22"/>
          <w:szCs w:val="22"/>
          <w:lang w:val="es-ES"/>
        </w:rPr>
        <w:t xml:space="preserve">s que cumplan con los criterios de elegibilidad establecidos en  la “Política de Otorgamiento de Créditos para Instituciones Elegibles” debidamente aprobada por la Junta Directiva de BANCÓLDEX. En todo caso, podrán participar como </w:t>
      </w:r>
      <w:r w:rsidR="00B72CF0" w:rsidRPr="005B57B7">
        <w:rPr>
          <w:rFonts w:ascii="Arial" w:hAnsi="Arial" w:cs="Arial"/>
          <w:sz w:val="22"/>
          <w:szCs w:val="22"/>
          <w:lang w:val="es-ES"/>
        </w:rPr>
        <w:t xml:space="preserve">Ente crediticios </w:t>
      </w:r>
      <w:r w:rsidRPr="005B57B7">
        <w:rPr>
          <w:rFonts w:ascii="Arial" w:hAnsi="Arial" w:cs="Arial"/>
          <w:sz w:val="22"/>
          <w:szCs w:val="22"/>
          <w:lang w:val="es-ES"/>
        </w:rPr>
        <w:t>elegibles, intermediarios de primer piso (bancarios y no bancarios) sometidos a la inspección y vigilancia de la Superintendencia de Servicios Financieros.</w:t>
      </w:r>
    </w:p>
    <w:p w:rsidR="00622CC4" w:rsidRPr="005B57B7" w:rsidRDefault="00622CC4" w:rsidP="00622CC4">
      <w:pPr>
        <w:pStyle w:val="Heading2"/>
        <w:tabs>
          <w:tab w:val="clear" w:pos="1836"/>
        </w:tabs>
        <w:ind w:left="1440" w:hanging="990"/>
        <w:jc w:val="both"/>
        <w:rPr>
          <w:color w:val="auto"/>
          <w:kern w:val="32"/>
          <w:sz w:val="28"/>
          <w:szCs w:val="22"/>
          <w:lang w:eastAsia="en-US"/>
        </w:rPr>
      </w:pPr>
      <w:bookmarkStart w:id="26" w:name="_Toc428252153"/>
      <w:bookmarkStart w:id="27" w:name="_Toc431307116"/>
      <w:r w:rsidRPr="005B57B7">
        <w:rPr>
          <w:color w:val="auto"/>
          <w:kern w:val="32"/>
          <w:sz w:val="28"/>
          <w:szCs w:val="22"/>
          <w:lang w:eastAsia="en-US"/>
        </w:rPr>
        <w:t>Riesgo de Crédito y/o Contraparte</w:t>
      </w:r>
      <w:bookmarkEnd w:id="26"/>
      <w:bookmarkEnd w:id="27"/>
      <w:r w:rsidRPr="005B57B7">
        <w:rPr>
          <w:color w:val="auto"/>
          <w:kern w:val="32"/>
          <w:sz w:val="28"/>
          <w:szCs w:val="22"/>
          <w:lang w:eastAsia="en-U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Es responsabilidad general de BANCÓLDEX evaluar el riesgo de crédito y/o contraparte de </w:t>
      </w:r>
      <w:r w:rsidR="00B72CF0" w:rsidRPr="005B57B7">
        <w:rPr>
          <w:rFonts w:ascii="Arial" w:hAnsi="Arial" w:cs="Arial"/>
          <w:sz w:val="22"/>
          <w:szCs w:val="22"/>
          <w:lang w:val="es-ES"/>
        </w:rPr>
        <w:t>los Entes Crediticios</w:t>
      </w:r>
      <w:r w:rsidRPr="005B57B7">
        <w:rPr>
          <w:rFonts w:ascii="Arial" w:hAnsi="Arial" w:cs="Arial"/>
          <w:sz w:val="22"/>
          <w:szCs w:val="22"/>
          <w:lang w:val="es-ES"/>
        </w:rPr>
        <w:t xml:space="preserve"> potencialmente elegibles para llevar a cabo sub-préstamos. En particular, para las entidades </w:t>
      </w:r>
      <w:r w:rsidR="003E6EEF" w:rsidRPr="005B57B7">
        <w:rPr>
          <w:rFonts w:ascii="Arial" w:hAnsi="Arial" w:cs="Arial"/>
          <w:sz w:val="22"/>
          <w:szCs w:val="22"/>
          <w:lang w:val="es-ES"/>
        </w:rPr>
        <w:t>no reguladas</w:t>
      </w:r>
      <w:r w:rsidRPr="005B57B7">
        <w:rPr>
          <w:rFonts w:ascii="Arial" w:hAnsi="Arial" w:cs="Arial"/>
          <w:sz w:val="22"/>
          <w:szCs w:val="22"/>
          <w:lang w:val="es-ES"/>
        </w:rPr>
        <w:t>, dicho análisis debe ser exhaustivo y debe incorporar, cuando menos:</w:t>
      </w:r>
    </w:p>
    <w:p w:rsidR="00622CC4" w:rsidRPr="005B57B7" w:rsidRDefault="00622CC4" w:rsidP="004B0E2A">
      <w:pPr>
        <w:numPr>
          <w:ilvl w:val="0"/>
          <w:numId w:val="13"/>
        </w:numPr>
        <w:jc w:val="both"/>
        <w:rPr>
          <w:rFonts w:ascii="Arial" w:hAnsi="Arial" w:cs="Arial"/>
          <w:sz w:val="22"/>
          <w:szCs w:val="22"/>
          <w:lang w:val="es-ES"/>
        </w:rPr>
      </w:pPr>
      <w:bookmarkStart w:id="28" w:name="_Toc428252154"/>
      <w:r w:rsidRPr="005B57B7">
        <w:rPr>
          <w:rFonts w:ascii="Arial" w:hAnsi="Arial" w:cs="Arial"/>
          <w:sz w:val="22"/>
          <w:szCs w:val="22"/>
          <w:lang w:val="es-ES"/>
        </w:rPr>
        <w:t>Análisis mensuales extra – situ para las entidades que ya son sujeto de crédito</w:t>
      </w:r>
      <w:bookmarkEnd w:id="28"/>
    </w:p>
    <w:p w:rsidR="00622CC4" w:rsidRPr="005B57B7" w:rsidRDefault="00622CC4" w:rsidP="004B0E2A">
      <w:pPr>
        <w:numPr>
          <w:ilvl w:val="0"/>
          <w:numId w:val="13"/>
        </w:numPr>
        <w:jc w:val="both"/>
        <w:rPr>
          <w:rFonts w:ascii="Arial" w:hAnsi="Arial" w:cs="Arial"/>
          <w:sz w:val="22"/>
          <w:szCs w:val="22"/>
          <w:lang w:val="es-ES"/>
        </w:rPr>
      </w:pPr>
      <w:bookmarkStart w:id="29" w:name="_Toc428252155"/>
      <w:r w:rsidRPr="005B57B7">
        <w:rPr>
          <w:rFonts w:ascii="Arial" w:hAnsi="Arial" w:cs="Arial"/>
          <w:sz w:val="22"/>
          <w:szCs w:val="22"/>
          <w:lang w:val="es-ES"/>
        </w:rPr>
        <w:t>Análisis extra – situ e in – situ para las entidades que quieren ser nuevos sujetos de crédito</w:t>
      </w:r>
      <w:bookmarkEnd w:id="29"/>
    </w:p>
    <w:p w:rsidR="00622CC4" w:rsidRPr="005B57B7" w:rsidRDefault="00622CC4" w:rsidP="004B0E2A">
      <w:pPr>
        <w:numPr>
          <w:ilvl w:val="0"/>
          <w:numId w:val="13"/>
        </w:numPr>
        <w:jc w:val="both"/>
        <w:rPr>
          <w:rFonts w:ascii="Arial" w:hAnsi="Arial" w:cs="Arial"/>
          <w:sz w:val="22"/>
          <w:szCs w:val="22"/>
          <w:lang w:val="es-ES"/>
        </w:rPr>
      </w:pPr>
      <w:bookmarkStart w:id="30" w:name="_Toc428252156"/>
      <w:r w:rsidRPr="005B57B7">
        <w:rPr>
          <w:rFonts w:ascii="Arial" w:hAnsi="Arial" w:cs="Arial"/>
          <w:sz w:val="22"/>
          <w:szCs w:val="22"/>
          <w:lang w:val="es-ES"/>
        </w:rPr>
        <w:t>Generar reportes mensuales acerca de la situación de las entidades que ya son sujeto de crédito</w:t>
      </w:r>
      <w:bookmarkEnd w:id="30"/>
      <w:r w:rsidRPr="005B57B7">
        <w:rPr>
          <w:rFonts w:ascii="Arial" w:hAnsi="Arial" w:cs="Arial"/>
          <w:sz w:val="22"/>
          <w:szCs w:val="22"/>
          <w:lang w:val="es-ES"/>
        </w:rPr>
        <w:t xml:space="preserve">  </w:t>
      </w:r>
    </w:p>
    <w:p w:rsidR="00622CC4" w:rsidRPr="005B57B7" w:rsidRDefault="00622CC4" w:rsidP="00622CC4">
      <w:pPr>
        <w:pStyle w:val="Heading2"/>
        <w:tabs>
          <w:tab w:val="clear" w:pos="1836"/>
        </w:tabs>
        <w:ind w:left="1440" w:hanging="990"/>
        <w:jc w:val="both"/>
        <w:rPr>
          <w:color w:val="auto"/>
          <w:kern w:val="32"/>
          <w:sz w:val="28"/>
          <w:szCs w:val="24"/>
          <w:lang w:eastAsia="en-US"/>
        </w:rPr>
      </w:pPr>
      <w:bookmarkStart w:id="31" w:name="_Toc428252157"/>
      <w:bookmarkStart w:id="32" w:name="_Toc431307117"/>
      <w:r w:rsidRPr="005B57B7">
        <w:rPr>
          <w:color w:val="auto"/>
          <w:kern w:val="32"/>
          <w:sz w:val="28"/>
          <w:szCs w:val="24"/>
          <w:lang w:eastAsia="en-US"/>
        </w:rPr>
        <w:t xml:space="preserve">Responsabilidades particulares de BANCÓLDEX frente a </w:t>
      </w:r>
      <w:bookmarkEnd w:id="31"/>
      <w:r w:rsidR="00B72CF0" w:rsidRPr="005B57B7">
        <w:rPr>
          <w:color w:val="auto"/>
          <w:kern w:val="32"/>
          <w:sz w:val="28"/>
          <w:szCs w:val="24"/>
          <w:lang w:eastAsia="en-US"/>
        </w:rPr>
        <w:t>los Entes Crediticios</w:t>
      </w:r>
      <w:bookmarkEnd w:id="32"/>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En particular BANCÓLDEX deberá cumplir, aunque no limitarse a, las siguientes actividades:</w:t>
      </w:r>
    </w:p>
    <w:p w:rsidR="00D6151F" w:rsidRPr="005B57B7" w:rsidRDefault="00622CC4" w:rsidP="00D6151F">
      <w:pPr>
        <w:pStyle w:val="Heading3"/>
        <w:rPr>
          <w:sz w:val="24"/>
          <w:lang w:val="es-ES"/>
        </w:rPr>
      </w:pPr>
      <w:bookmarkStart w:id="33" w:name="_Toc428252158"/>
      <w:bookmarkStart w:id="34" w:name="_Toc431307118"/>
      <w:r w:rsidRPr="005B57B7">
        <w:rPr>
          <w:sz w:val="22"/>
          <w:lang w:val="es-ES"/>
        </w:rPr>
        <w:t>Pagaré</w:t>
      </w:r>
      <w:bookmarkEnd w:id="33"/>
      <w:bookmarkEnd w:id="34"/>
      <w:r w:rsidRPr="005B57B7">
        <w:rPr>
          <w:sz w:val="24"/>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BANCÓLDEX deberá solicitar a </w:t>
      </w:r>
      <w:r w:rsidR="00B72CF0" w:rsidRPr="005B57B7">
        <w:rPr>
          <w:rFonts w:ascii="Arial" w:hAnsi="Arial" w:cs="Arial"/>
          <w:sz w:val="22"/>
          <w:szCs w:val="22"/>
          <w:lang w:val="es-ES"/>
        </w:rPr>
        <w:t>los Entes Crediticios</w:t>
      </w:r>
      <w:r w:rsidRPr="005B57B7">
        <w:rPr>
          <w:rFonts w:ascii="Arial" w:hAnsi="Arial" w:cs="Arial"/>
          <w:sz w:val="22"/>
          <w:szCs w:val="22"/>
          <w:lang w:val="es-ES"/>
        </w:rPr>
        <w:t xml:space="preserve"> elegibles la firma de un pagaré por el 100% del desembolso, pudiendo tratarse de un solo préstamo o de un lote de varios préstamos, en cumplimiento de su política interna de garantías.   </w:t>
      </w:r>
    </w:p>
    <w:p w:rsidR="00D6151F" w:rsidRPr="005B57B7" w:rsidRDefault="00622CC4" w:rsidP="00D6151F">
      <w:pPr>
        <w:pStyle w:val="Heading3"/>
        <w:rPr>
          <w:sz w:val="22"/>
          <w:szCs w:val="22"/>
          <w:lang w:val="es-ES"/>
        </w:rPr>
      </w:pPr>
      <w:bookmarkStart w:id="35" w:name="_Toc428252160"/>
      <w:bookmarkStart w:id="36" w:name="_Toc431307119"/>
      <w:r w:rsidRPr="005B57B7">
        <w:rPr>
          <w:sz w:val="22"/>
          <w:szCs w:val="22"/>
          <w:lang w:val="es-ES"/>
        </w:rPr>
        <w:t xml:space="preserve">Desempeño </w:t>
      </w:r>
      <w:r w:rsidR="00B72CF0" w:rsidRPr="005B57B7">
        <w:rPr>
          <w:sz w:val="22"/>
          <w:szCs w:val="22"/>
          <w:lang w:val="es-ES"/>
        </w:rPr>
        <w:t>de Entes Crediticios</w:t>
      </w:r>
      <w:r w:rsidRPr="005B57B7">
        <w:rPr>
          <w:sz w:val="22"/>
          <w:szCs w:val="22"/>
          <w:lang w:val="es-ES"/>
        </w:rPr>
        <w:t xml:space="preserve"> elegibles</w:t>
      </w:r>
      <w:bookmarkEnd w:id="35"/>
      <w:bookmarkEnd w:id="36"/>
      <w:r w:rsidRPr="005B57B7">
        <w:rPr>
          <w:sz w:val="22"/>
          <w:szCs w:val="22"/>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 xml:space="preserve">Será responsabilidad de BANCÓLDEX llevar a cabo el seguimiento del desempeño financiero y los demás aspectos, cualitativos y cuantitativos, que hagan a una IFI elegible sujeto de crédito de BANCÓLDEX.  </w:t>
      </w:r>
    </w:p>
    <w:p w:rsidR="00D6151F" w:rsidRPr="005B57B7" w:rsidRDefault="00622CC4" w:rsidP="00D6151F">
      <w:pPr>
        <w:pStyle w:val="Heading3"/>
        <w:rPr>
          <w:sz w:val="22"/>
          <w:szCs w:val="22"/>
          <w:lang w:val="es-ES"/>
        </w:rPr>
      </w:pPr>
      <w:bookmarkStart w:id="37" w:name="_Toc428252161"/>
      <w:bookmarkStart w:id="38" w:name="_Toc431307120"/>
      <w:r w:rsidRPr="005B57B7">
        <w:rPr>
          <w:sz w:val="22"/>
          <w:szCs w:val="22"/>
          <w:lang w:val="es-ES"/>
        </w:rPr>
        <w:t>Concentración de riesgo</w:t>
      </w:r>
      <w:bookmarkEnd w:id="37"/>
      <w:bookmarkEnd w:id="38"/>
      <w:r w:rsidRPr="005B57B7">
        <w:rPr>
          <w:sz w:val="22"/>
          <w:szCs w:val="22"/>
          <w:lang w:val="es-ES"/>
        </w:rPr>
        <w:t xml:space="preserve"> </w:t>
      </w:r>
    </w:p>
    <w:p w:rsidR="00622CC4" w:rsidRPr="005B57B7" w:rsidRDefault="00622CC4" w:rsidP="004B0E2A">
      <w:pPr>
        <w:jc w:val="both"/>
        <w:rPr>
          <w:rFonts w:ascii="Arial" w:hAnsi="Arial" w:cs="Arial"/>
          <w:sz w:val="22"/>
          <w:szCs w:val="22"/>
          <w:lang w:val="es-ES"/>
        </w:rPr>
      </w:pPr>
      <w:r w:rsidRPr="005B57B7">
        <w:rPr>
          <w:rFonts w:ascii="Arial" w:hAnsi="Arial" w:cs="Arial"/>
          <w:sz w:val="22"/>
          <w:szCs w:val="22"/>
          <w:lang w:val="es-ES"/>
        </w:rPr>
        <w:t>Será responsabilidad de BANCÓLDEX el cumplimiento de las reglas sobre concentración de riesgo de crédito a sujetos elegibles en los sub-préstamos de acuerdo a lo especificado en el numeral 3.</w:t>
      </w:r>
      <w:r w:rsidR="00E476F6" w:rsidRPr="005B57B7">
        <w:rPr>
          <w:rFonts w:ascii="Arial" w:hAnsi="Arial" w:cs="Arial"/>
          <w:sz w:val="22"/>
          <w:szCs w:val="22"/>
          <w:lang w:val="es-ES"/>
        </w:rPr>
        <w:t>2</w:t>
      </w:r>
      <w:r w:rsidRPr="005B57B7">
        <w:rPr>
          <w:rFonts w:ascii="Arial" w:hAnsi="Arial" w:cs="Arial"/>
          <w:sz w:val="22"/>
          <w:szCs w:val="22"/>
          <w:lang w:val="es-ES"/>
        </w:rPr>
        <w:t xml:space="preserve"> anterior.  </w:t>
      </w:r>
    </w:p>
    <w:p w:rsidR="00D6151F" w:rsidRPr="005B57B7" w:rsidRDefault="00622CC4" w:rsidP="00D6151F">
      <w:pPr>
        <w:pStyle w:val="Heading3"/>
        <w:rPr>
          <w:sz w:val="24"/>
          <w:szCs w:val="24"/>
          <w:lang w:val="es-ES"/>
        </w:rPr>
      </w:pPr>
      <w:bookmarkStart w:id="39" w:name="_Toc428252162"/>
      <w:bookmarkStart w:id="40" w:name="_Toc431307121"/>
      <w:r w:rsidRPr="005B57B7">
        <w:rPr>
          <w:sz w:val="22"/>
          <w:szCs w:val="22"/>
          <w:lang w:val="es-ES"/>
        </w:rPr>
        <w:t xml:space="preserve">Solvencia y liquidez de </w:t>
      </w:r>
      <w:bookmarkEnd w:id="39"/>
      <w:r w:rsidR="00B72CF0" w:rsidRPr="005B57B7">
        <w:rPr>
          <w:sz w:val="22"/>
          <w:szCs w:val="22"/>
          <w:lang w:val="es-ES"/>
        </w:rPr>
        <w:t>los Entes Crediticios</w:t>
      </w:r>
      <w:bookmarkEnd w:id="40"/>
    </w:p>
    <w:p w:rsidR="00622CC4" w:rsidRPr="005B57B7" w:rsidRDefault="00622CC4" w:rsidP="004B0E2A">
      <w:pPr>
        <w:jc w:val="both"/>
        <w:rPr>
          <w:rFonts w:ascii="Arial" w:hAnsi="Arial" w:cs="Arial"/>
          <w:lang w:val="es-ES"/>
        </w:rPr>
      </w:pPr>
      <w:r w:rsidRPr="005B57B7">
        <w:rPr>
          <w:rFonts w:ascii="Arial" w:hAnsi="Arial" w:cs="Arial"/>
          <w:sz w:val="22"/>
          <w:szCs w:val="22"/>
          <w:lang w:val="es-ES"/>
        </w:rPr>
        <w:t xml:space="preserve">En todo caso, no se podrán otorgar créditos a </w:t>
      </w:r>
      <w:r w:rsidR="00B72CF0" w:rsidRPr="005B57B7">
        <w:rPr>
          <w:rFonts w:ascii="Arial" w:hAnsi="Arial" w:cs="Arial"/>
          <w:sz w:val="22"/>
          <w:szCs w:val="22"/>
          <w:lang w:val="es-ES"/>
        </w:rPr>
        <w:t xml:space="preserve">Entes Crediticios </w:t>
      </w:r>
      <w:r w:rsidRPr="005B57B7">
        <w:rPr>
          <w:rFonts w:ascii="Arial" w:hAnsi="Arial" w:cs="Arial"/>
          <w:sz w:val="22"/>
          <w:szCs w:val="22"/>
          <w:lang w:val="es-ES"/>
        </w:rPr>
        <w:t>que presenten problemas de solvencia y/o liquidez en el momento de otorgar el cupo de crédito.</w:t>
      </w:r>
      <w:r w:rsidRPr="005B57B7">
        <w:rPr>
          <w:rFonts w:ascii="Arial" w:hAnsi="Arial" w:cs="Arial"/>
          <w:lang w:val="es-ES"/>
        </w:rPr>
        <w:t xml:space="preserve">   </w:t>
      </w:r>
    </w:p>
    <w:p w:rsidR="0050047E" w:rsidRPr="005B57B7" w:rsidRDefault="0050047E" w:rsidP="00E7250B">
      <w:pPr>
        <w:pStyle w:val="Heading1"/>
        <w:rPr>
          <w:sz w:val="28"/>
          <w:lang w:val="es-ES"/>
        </w:rPr>
      </w:pPr>
      <w:bookmarkStart w:id="41" w:name="_Toc217379111"/>
      <w:bookmarkStart w:id="42" w:name="_Toc428252163"/>
      <w:bookmarkStart w:id="43" w:name="_Toc431307122"/>
      <w:bookmarkEnd w:id="20"/>
      <w:r w:rsidRPr="005B57B7">
        <w:rPr>
          <w:sz w:val="28"/>
          <w:lang w:val="es-ES"/>
        </w:rPr>
        <w:lastRenderedPageBreak/>
        <w:t>Características específicas de los sub-préstamos sujetos a financiación bajo el Programa.</w:t>
      </w:r>
      <w:bookmarkEnd w:id="41"/>
      <w:bookmarkEnd w:id="42"/>
      <w:bookmarkEnd w:id="43"/>
    </w:p>
    <w:p w:rsidR="0050047E" w:rsidRPr="005B57B7" w:rsidRDefault="0050047E" w:rsidP="00CD3EE8">
      <w:pPr>
        <w:pStyle w:val="Heading2"/>
        <w:tabs>
          <w:tab w:val="clear" w:pos="1836"/>
        </w:tabs>
        <w:ind w:hanging="1386"/>
        <w:rPr>
          <w:color w:val="auto"/>
          <w:sz w:val="28"/>
          <w:szCs w:val="32"/>
        </w:rPr>
      </w:pPr>
      <w:bookmarkStart w:id="44" w:name="_Toc217379112"/>
      <w:bookmarkStart w:id="45" w:name="_Toc428252164"/>
      <w:bookmarkStart w:id="46" w:name="_Toc431307123"/>
      <w:r w:rsidRPr="0075332B">
        <w:rPr>
          <w:color w:val="auto"/>
          <w:sz w:val="28"/>
          <w:szCs w:val="32"/>
        </w:rPr>
        <w:t>Cobro</w:t>
      </w:r>
      <w:r w:rsidRPr="005B57B7">
        <w:rPr>
          <w:color w:val="auto"/>
          <w:sz w:val="28"/>
          <w:szCs w:val="32"/>
        </w:rPr>
        <w:t xml:space="preserve"> de intereses</w:t>
      </w:r>
      <w:bookmarkEnd w:id="44"/>
      <w:bookmarkEnd w:id="45"/>
      <w:bookmarkEnd w:id="46"/>
    </w:p>
    <w:p w:rsidR="00BA0C86"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A los </w:t>
      </w:r>
      <w:r w:rsidRPr="005B57B7">
        <w:rPr>
          <w:rFonts w:ascii="Arial" w:hAnsi="Arial"/>
          <w:sz w:val="22"/>
          <w:szCs w:val="22"/>
          <w:lang w:val="es-ES"/>
        </w:rPr>
        <w:t>sub-</w:t>
      </w:r>
      <w:r w:rsidRPr="005B57B7">
        <w:rPr>
          <w:rFonts w:ascii="Arial" w:hAnsi="Arial" w:cs="Arial"/>
          <w:sz w:val="22"/>
          <w:szCs w:val="22"/>
          <w:lang w:val="es-ES"/>
        </w:rPr>
        <w:t xml:space="preserve">prestatarios deberá cobrarse por concepto de intereses, comisiones, seguros o por cualesquiera otros cargos, la tasa o tasas anuales que, guardando armonía con la legislación y las políticas sobre tasas de interés de la República de Colombia sean compatibles con la política del BID y de </w:t>
      </w:r>
      <w:r w:rsidR="00C136B7" w:rsidRPr="005B57B7">
        <w:rPr>
          <w:rFonts w:ascii="Arial" w:hAnsi="Arial" w:cs="Arial"/>
          <w:sz w:val="22"/>
          <w:szCs w:val="22"/>
          <w:lang w:val="es-ES"/>
        </w:rPr>
        <w:t>BANCÓLDEX</w:t>
      </w:r>
      <w:r w:rsidRPr="005B57B7">
        <w:rPr>
          <w:rFonts w:ascii="Arial" w:hAnsi="Arial" w:cs="Arial"/>
          <w:sz w:val="22"/>
          <w:szCs w:val="22"/>
          <w:lang w:val="es-ES"/>
        </w:rPr>
        <w:t xml:space="preserve"> sobre tasas de interés para ese tipo de financiamiento, así como las políticas de los Entes Crediticios.</w:t>
      </w:r>
    </w:p>
    <w:p w:rsidR="00634D4E" w:rsidRPr="005B57B7" w:rsidRDefault="0050047E" w:rsidP="00BF7E37">
      <w:pPr>
        <w:pStyle w:val="Heading2"/>
        <w:keepNext/>
        <w:tabs>
          <w:tab w:val="clear" w:pos="1836"/>
        </w:tabs>
        <w:ind w:left="1828" w:hanging="1382"/>
        <w:rPr>
          <w:color w:val="auto"/>
          <w:sz w:val="28"/>
          <w:szCs w:val="32"/>
        </w:rPr>
      </w:pPr>
      <w:bookmarkStart w:id="47" w:name="_Toc217379113"/>
      <w:bookmarkStart w:id="48" w:name="_Toc428252165"/>
      <w:bookmarkStart w:id="49" w:name="_Toc431307124"/>
      <w:r w:rsidRPr="005B57B7">
        <w:rPr>
          <w:color w:val="auto"/>
          <w:sz w:val="28"/>
          <w:szCs w:val="32"/>
        </w:rPr>
        <w:t>Monto de financiación</w:t>
      </w:r>
      <w:bookmarkEnd w:id="47"/>
      <w:bookmarkEnd w:id="48"/>
      <w:bookmarkEnd w:id="49"/>
    </w:p>
    <w:p w:rsidR="00634D4E" w:rsidRDefault="00634D4E" w:rsidP="00E44481">
      <w:pPr>
        <w:jc w:val="both"/>
        <w:rPr>
          <w:rFonts w:ascii="Arial" w:hAnsi="Arial" w:cs="Arial"/>
          <w:sz w:val="22"/>
          <w:szCs w:val="22"/>
          <w:lang w:val="es-ES"/>
        </w:rPr>
      </w:pPr>
      <w:r w:rsidRPr="005B57B7">
        <w:rPr>
          <w:rFonts w:ascii="Arial" w:hAnsi="Arial" w:cs="Arial"/>
          <w:sz w:val="22"/>
          <w:szCs w:val="22"/>
          <w:lang w:val="es-ES"/>
        </w:rPr>
        <w:t xml:space="preserve">El Programa contempla la financiación de sub-préstamos a una misma persona natural o jurídica o para un mismo proyecto o grupo de proyectos </w:t>
      </w:r>
      <w:r w:rsidR="00BE3C0C" w:rsidRPr="005B57B7">
        <w:rPr>
          <w:rFonts w:ascii="Arial" w:hAnsi="Arial" w:cs="Arial"/>
          <w:sz w:val="22"/>
          <w:szCs w:val="22"/>
          <w:lang w:val="es-ES"/>
        </w:rPr>
        <w:t xml:space="preserve">que en su conjunto y en un momento dado no excedan </w:t>
      </w:r>
      <w:r w:rsidR="005043C8" w:rsidRPr="005B57B7">
        <w:rPr>
          <w:rFonts w:ascii="Arial" w:hAnsi="Arial" w:cs="Arial"/>
          <w:sz w:val="22"/>
          <w:szCs w:val="22"/>
          <w:lang w:val="es-ES"/>
        </w:rPr>
        <w:t>la capacidad de 10MW</w:t>
      </w:r>
      <w:r w:rsidR="00BE3C0C" w:rsidRPr="005B57B7">
        <w:rPr>
          <w:rFonts w:ascii="Arial" w:hAnsi="Arial" w:cs="Arial"/>
          <w:sz w:val="22"/>
          <w:szCs w:val="22"/>
          <w:lang w:val="es-ES"/>
        </w:rPr>
        <w:t xml:space="preserve">, siempre y cuando  </w:t>
      </w:r>
      <w:r w:rsidRPr="005B57B7">
        <w:rPr>
          <w:rFonts w:ascii="Arial" w:hAnsi="Arial" w:cs="Arial"/>
          <w:sz w:val="22"/>
          <w:szCs w:val="22"/>
          <w:lang w:val="es-ES"/>
        </w:rPr>
        <w:t xml:space="preserve">se cumplan las </w:t>
      </w:r>
      <w:r w:rsidR="002C2C51" w:rsidRPr="005B57B7">
        <w:rPr>
          <w:rFonts w:ascii="Arial" w:hAnsi="Arial" w:cs="Arial"/>
          <w:sz w:val="22"/>
          <w:szCs w:val="22"/>
          <w:lang w:val="es-ES"/>
        </w:rPr>
        <w:t xml:space="preserve">condiciones de elegibilidad presentadas en la sección </w:t>
      </w:r>
      <w:r w:rsidR="002C2C51" w:rsidRPr="005B57B7">
        <w:rPr>
          <w:rFonts w:ascii="Arial" w:hAnsi="Arial" w:cs="Arial"/>
          <w:sz w:val="22"/>
          <w:szCs w:val="22"/>
          <w:lang w:val="es-ES"/>
        </w:rPr>
        <w:fldChar w:fldCharType="begin"/>
      </w:r>
      <w:r w:rsidR="002C2C51" w:rsidRPr="005B57B7">
        <w:rPr>
          <w:rFonts w:ascii="Arial" w:hAnsi="Arial" w:cs="Arial"/>
          <w:sz w:val="22"/>
          <w:szCs w:val="22"/>
          <w:lang w:val="es-ES"/>
        </w:rPr>
        <w:instrText xml:space="preserve"> REF _Ref430098843 \r \h </w:instrText>
      </w:r>
      <w:r w:rsidR="002C2C51" w:rsidRPr="005B57B7">
        <w:rPr>
          <w:rFonts w:ascii="Arial" w:hAnsi="Arial" w:cs="Arial"/>
          <w:sz w:val="22"/>
          <w:szCs w:val="22"/>
          <w:lang w:val="es-ES"/>
        </w:rPr>
      </w:r>
      <w:r w:rsidR="002C2C51" w:rsidRPr="005B57B7">
        <w:rPr>
          <w:rFonts w:ascii="Arial" w:hAnsi="Arial" w:cs="Arial"/>
          <w:sz w:val="22"/>
          <w:szCs w:val="22"/>
          <w:lang w:val="es-ES"/>
        </w:rPr>
        <w:fldChar w:fldCharType="separate"/>
      </w:r>
      <w:r w:rsidR="0075332B">
        <w:rPr>
          <w:rFonts w:ascii="Arial" w:hAnsi="Arial" w:cs="Arial"/>
          <w:sz w:val="22"/>
          <w:szCs w:val="22"/>
          <w:lang w:val="es-ES"/>
        </w:rPr>
        <w:t>5.3</w:t>
      </w:r>
      <w:r w:rsidR="002C2C51" w:rsidRPr="005B57B7">
        <w:rPr>
          <w:rFonts w:ascii="Arial" w:hAnsi="Arial" w:cs="Arial"/>
          <w:sz w:val="22"/>
          <w:szCs w:val="22"/>
          <w:lang w:val="es-ES"/>
        </w:rPr>
        <w:fldChar w:fldCharType="end"/>
      </w:r>
      <w:r w:rsidR="00AF0658">
        <w:rPr>
          <w:rFonts w:ascii="Arial" w:hAnsi="Arial" w:cs="Arial"/>
          <w:sz w:val="22"/>
          <w:szCs w:val="22"/>
          <w:lang w:val="es-ES"/>
        </w:rPr>
        <w:t>.</w:t>
      </w:r>
    </w:p>
    <w:p w:rsidR="00AF0658" w:rsidRDefault="00AF0658" w:rsidP="00E44481">
      <w:pPr>
        <w:jc w:val="both"/>
        <w:rPr>
          <w:rFonts w:ascii="Arial" w:hAnsi="Arial" w:cs="Arial"/>
          <w:sz w:val="22"/>
          <w:szCs w:val="22"/>
          <w:lang w:val="es-ES"/>
        </w:rPr>
      </w:pPr>
    </w:p>
    <w:p w:rsidR="00AF0658" w:rsidRPr="005B57B7" w:rsidRDefault="00AF0658" w:rsidP="00E44481">
      <w:pPr>
        <w:jc w:val="both"/>
        <w:rPr>
          <w:rFonts w:ascii="Arial" w:hAnsi="Arial" w:cs="Arial"/>
          <w:lang w:val="es-ES"/>
        </w:rPr>
      </w:pPr>
      <w:r>
        <w:rPr>
          <w:rFonts w:ascii="Arial" w:hAnsi="Arial" w:cs="Arial"/>
          <w:sz w:val="22"/>
          <w:szCs w:val="22"/>
          <w:lang w:val="es-ES"/>
        </w:rPr>
        <w:t xml:space="preserve">El Programa no deberá concentrar todo el financiamiento en uno solo proyecto y deberá financiar por los menos 4 proyectos.  </w:t>
      </w:r>
    </w:p>
    <w:p w:rsidR="00634D4E" w:rsidRPr="005B57B7" w:rsidRDefault="00634D4E" w:rsidP="004B0E2A">
      <w:pPr>
        <w:jc w:val="both"/>
        <w:rPr>
          <w:rFonts w:ascii="Arial" w:hAnsi="Arial" w:cs="Arial"/>
          <w:sz w:val="22"/>
          <w:szCs w:val="22"/>
          <w:lang w:val="es-ES"/>
        </w:rPr>
      </w:pPr>
    </w:p>
    <w:p w:rsidR="001657B0" w:rsidRPr="005B57B7" w:rsidRDefault="003E0A91" w:rsidP="004B0E2A">
      <w:pPr>
        <w:jc w:val="both"/>
        <w:rPr>
          <w:rFonts w:ascii="Arial" w:hAnsi="Arial" w:cs="Arial"/>
          <w:sz w:val="22"/>
          <w:szCs w:val="22"/>
          <w:lang w:val="es-ES"/>
        </w:rPr>
      </w:pPr>
      <w:r>
        <w:rPr>
          <w:rFonts w:ascii="Arial" w:hAnsi="Arial" w:cs="Arial"/>
          <w:sz w:val="22"/>
          <w:szCs w:val="22"/>
          <w:lang w:val="es-ES"/>
        </w:rPr>
        <w:t>S</w:t>
      </w:r>
      <w:r w:rsidR="00634D4E" w:rsidRPr="005B57B7">
        <w:rPr>
          <w:rFonts w:ascii="Arial" w:hAnsi="Arial" w:cs="Arial"/>
          <w:sz w:val="22"/>
          <w:szCs w:val="22"/>
          <w:lang w:val="es-ES"/>
        </w:rPr>
        <w:t>e permitirá la posibilidad de cofinanciamiento proveniente de otr</w:t>
      </w:r>
      <w:r w:rsidR="00F4544A" w:rsidRPr="005B57B7">
        <w:rPr>
          <w:rFonts w:ascii="Arial" w:hAnsi="Arial" w:cs="Arial"/>
          <w:sz w:val="22"/>
          <w:szCs w:val="22"/>
          <w:lang w:val="es-ES"/>
        </w:rPr>
        <w:t xml:space="preserve">as modalidades o </w:t>
      </w:r>
      <w:r w:rsidR="00634D4E" w:rsidRPr="005B57B7">
        <w:rPr>
          <w:rFonts w:ascii="Arial" w:hAnsi="Arial" w:cs="Arial"/>
          <w:sz w:val="22"/>
          <w:szCs w:val="22"/>
          <w:lang w:val="es-ES"/>
        </w:rPr>
        <w:t xml:space="preserve">cupos de crédito </w:t>
      </w:r>
      <w:r w:rsidR="00F4544A" w:rsidRPr="005B57B7">
        <w:rPr>
          <w:rFonts w:ascii="Arial" w:hAnsi="Arial" w:cs="Arial"/>
          <w:sz w:val="22"/>
          <w:szCs w:val="22"/>
          <w:lang w:val="es-ES"/>
        </w:rPr>
        <w:t xml:space="preserve">relevantes </w:t>
      </w:r>
      <w:r w:rsidR="00634D4E" w:rsidRPr="005B57B7">
        <w:rPr>
          <w:rFonts w:ascii="Arial" w:hAnsi="Arial" w:cs="Arial"/>
          <w:sz w:val="22"/>
          <w:szCs w:val="22"/>
          <w:lang w:val="es-ES"/>
        </w:rPr>
        <w:t xml:space="preserve">ofrecidos por </w:t>
      </w:r>
      <w:r w:rsidR="00C136B7" w:rsidRPr="005B57B7">
        <w:rPr>
          <w:rFonts w:ascii="Arial" w:hAnsi="Arial" w:cs="Arial"/>
          <w:sz w:val="22"/>
          <w:szCs w:val="22"/>
          <w:lang w:val="es-ES"/>
        </w:rPr>
        <w:t>BANCÓLDEX</w:t>
      </w:r>
      <w:r w:rsidR="00634D4E" w:rsidRPr="005B57B7">
        <w:rPr>
          <w:rFonts w:ascii="Arial" w:hAnsi="Arial" w:cs="Arial"/>
          <w:sz w:val="22"/>
          <w:szCs w:val="22"/>
          <w:lang w:val="es-ES"/>
        </w:rPr>
        <w:t xml:space="preserve">, de las instituciones financieras locales y/o de los beneficiarios. </w:t>
      </w:r>
    </w:p>
    <w:p w:rsidR="0050047E" w:rsidRPr="005B57B7" w:rsidRDefault="00634D4E" w:rsidP="00CD3EE8">
      <w:pPr>
        <w:pStyle w:val="Heading2"/>
        <w:tabs>
          <w:tab w:val="clear" w:pos="1836"/>
        </w:tabs>
        <w:ind w:hanging="1386"/>
        <w:rPr>
          <w:color w:val="auto"/>
          <w:sz w:val="28"/>
          <w:szCs w:val="32"/>
        </w:rPr>
      </w:pPr>
      <w:bookmarkStart w:id="50" w:name="_Toc428252169"/>
      <w:bookmarkStart w:id="51" w:name="_Ref430098843"/>
      <w:bookmarkStart w:id="52" w:name="_Ref430098877"/>
      <w:bookmarkStart w:id="53" w:name="_Toc431307125"/>
      <w:r w:rsidRPr="005B57B7">
        <w:rPr>
          <w:color w:val="auto"/>
          <w:sz w:val="28"/>
          <w:szCs w:val="32"/>
        </w:rPr>
        <w:t>Seguimiento de Aspectos Socio-Ambientales</w:t>
      </w:r>
      <w:bookmarkEnd w:id="50"/>
      <w:bookmarkEnd w:id="51"/>
      <w:bookmarkEnd w:id="52"/>
      <w:bookmarkEnd w:id="53"/>
    </w:p>
    <w:p w:rsidR="00BA0C86" w:rsidRPr="005B57B7" w:rsidRDefault="00417453" w:rsidP="004B0E2A">
      <w:pPr>
        <w:jc w:val="both"/>
        <w:rPr>
          <w:rFonts w:ascii="Arial" w:hAnsi="Arial" w:cs="Arial"/>
          <w:sz w:val="22"/>
          <w:szCs w:val="22"/>
          <w:lang w:val="es-ES"/>
        </w:rPr>
      </w:pPr>
      <w:r w:rsidRPr="005B57B7">
        <w:rPr>
          <w:rFonts w:ascii="Arial" w:hAnsi="Arial" w:cs="Arial"/>
          <w:sz w:val="22"/>
          <w:szCs w:val="22"/>
          <w:lang w:val="es-ES"/>
        </w:rPr>
        <w:t>L</w:t>
      </w:r>
      <w:r w:rsidR="00B47939" w:rsidRPr="005B57B7">
        <w:rPr>
          <w:rFonts w:ascii="Arial" w:hAnsi="Arial" w:cs="Arial"/>
          <w:sz w:val="22"/>
          <w:szCs w:val="22"/>
          <w:lang w:val="es-ES"/>
        </w:rPr>
        <w:t>os sub-préstamos</w:t>
      </w:r>
      <w:r w:rsidRPr="005B57B7">
        <w:rPr>
          <w:rFonts w:ascii="Arial" w:hAnsi="Arial" w:cs="Arial"/>
          <w:sz w:val="22"/>
          <w:szCs w:val="22"/>
          <w:lang w:val="es-ES"/>
        </w:rPr>
        <w:t xml:space="preserve"> estarán sujetos a las reglas de la Circular Externa 046 de la Superintendencia Financiera de Colombia, debiendo</w:t>
      </w:r>
      <w:r w:rsidR="00A7190B" w:rsidRPr="005B57B7">
        <w:rPr>
          <w:rFonts w:ascii="Arial" w:hAnsi="Arial" w:cs="Arial"/>
          <w:sz w:val="22"/>
          <w:szCs w:val="22"/>
          <w:lang w:val="es-ES"/>
        </w:rPr>
        <w:t xml:space="preserve"> </w:t>
      </w:r>
      <w:r w:rsidR="00C136B7" w:rsidRPr="005B57B7">
        <w:rPr>
          <w:rFonts w:ascii="Arial" w:hAnsi="Arial" w:cs="Arial"/>
          <w:sz w:val="22"/>
          <w:szCs w:val="22"/>
          <w:lang w:val="es-ES"/>
        </w:rPr>
        <w:t>BANCÓLDEX</w:t>
      </w:r>
      <w:r w:rsidR="008678E7" w:rsidRPr="005B57B7">
        <w:rPr>
          <w:rFonts w:ascii="Arial" w:hAnsi="Arial" w:cs="Arial"/>
          <w:sz w:val="22"/>
          <w:szCs w:val="22"/>
          <w:lang w:val="es-ES"/>
        </w:rPr>
        <w:t xml:space="preserve"> </w:t>
      </w:r>
      <w:r w:rsidRPr="005B57B7">
        <w:rPr>
          <w:rFonts w:ascii="Arial" w:hAnsi="Arial" w:cs="Arial"/>
          <w:sz w:val="22"/>
          <w:szCs w:val="22"/>
          <w:lang w:val="es-ES"/>
        </w:rPr>
        <w:t xml:space="preserve">y </w:t>
      </w:r>
      <w:r w:rsidR="008678E7" w:rsidRPr="005B57B7">
        <w:rPr>
          <w:rFonts w:ascii="Arial" w:hAnsi="Arial" w:cs="Arial"/>
          <w:sz w:val="22"/>
          <w:szCs w:val="22"/>
          <w:lang w:val="es-ES"/>
        </w:rPr>
        <w:t xml:space="preserve">las IFIs </w:t>
      </w:r>
      <w:r w:rsidR="00997002" w:rsidRPr="005B57B7">
        <w:rPr>
          <w:rFonts w:ascii="Arial" w:hAnsi="Arial" w:cs="Arial"/>
          <w:sz w:val="22"/>
          <w:szCs w:val="22"/>
          <w:lang w:val="es-ES"/>
        </w:rPr>
        <w:t>considerar</w:t>
      </w:r>
      <w:r w:rsidR="00157A28" w:rsidRPr="005B57B7">
        <w:rPr>
          <w:rFonts w:ascii="Arial" w:hAnsi="Arial" w:cs="Arial"/>
          <w:sz w:val="22"/>
          <w:szCs w:val="22"/>
          <w:lang w:val="es-ES"/>
        </w:rPr>
        <w:t xml:space="preserve"> información respecto de los aspectos legales pertinentes, inclusive los socio-ambientales.</w:t>
      </w:r>
    </w:p>
    <w:p w:rsidR="004B0E2A" w:rsidRPr="005B57B7" w:rsidRDefault="004B0E2A" w:rsidP="004B0E2A">
      <w:pPr>
        <w:jc w:val="both"/>
        <w:rPr>
          <w:rFonts w:ascii="Arial" w:hAnsi="Arial" w:cs="Arial"/>
          <w:sz w:val="22"/>
          <w:szCs w:val="22"/>
          <w:lang w:val="es-ES"/>
        </w:rPr>
      </w:pPr>
    </w:p>
    <w:p w:rsidR="00445E74" w:rsidRPr="005B57B7" w:rsidRDefault="00445E74" w:rsidP="004B0E2A">
      <w:pPr>
        <w:jc w:val="both"/>
        <w:rPr>
          <w:rFonts w:ascii="Arial" w:hAnsi="Arial" w:cs="Arial"/>
          <w:sz w:val="22"/>
          <w:szCs w:val="22"/>
          <w:lang w:val="es-ES"/>
        </w:rPr>
      </w:pPr>
      <w:r w:rsidRPr="005B57B7">
        <w:rPr>
          <w:rFonts w:ascii="Arial" w:hAnsi="Arial" w:cs="Arial"/>
          <w:sz w:val="22"/>
          <w:szCs w:val="22"/>
          <w:lang w:val="es-ES"/>
        </w:rPr>
        <w:t>Para que los proyectos sean elegibles de financiamiento, deberán</w:t>
      </w:r>
      <w:r w:rsidR="00376DFF">
        <w:rPr>
          <w:rFonts w:ascii="Arial" w:hAnsi="Arial" w:cs="Arial"/>
          <w:sz w:val="22"/>
          <w:szCs w:val="22"/>
          <w:lang w:val="es-ES"/>
        </w:rPr>
        <w:t>:</w:t>
      </w:r>
      <w:r w:rsidRPr="005B57B7">
        <w:rPr>
          <w:rFonts w:ascii="Arial" w:hAnsi="Arial" w:cs="Arial"/>
          <w:sz w:val="22"/>
          <w:szCs w:val="22"/>
          <w:lang w:val="es-ES"/>
        </w:rPr>
        <w:t xml:space="preserve"> </w:t>
      </w:r>
    </w:p>
    <w:p w:rsidR="002C2C51" w:rsidRPr="005B57B7" w:rsidRDefault="002C2C51" w:rsidP="002C2C5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las normas ambientales y sociales de la legislación colombiana aplicable</w:t>
      </w:r>
    </w:p>
    <w:p w:rsidR="00445E74" w:rsidRPr="005B57B7" w:rsidRDefault="00445E74"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la lista de exclusión presentada en Anexo 2</w:t>
      </w:r>
    </w:p>
    <w:p w:rsidR="00445E74" w:rsidRPr="005B57B7" w:rsidRDefault="00445E74"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los requerimientos de la Estrategia de Gestión de Riesgos Ambientales &amp; Sociales presentada en Anexo 1</w:t>
      </w:r>
    </w:p>
    <w:p w:rsidR="00A82229" w:rsidRPr="005B57B7" w:rsidRDefault="00A82229" w:rsidP="00E44481">
      <w:pPr>
        <w:numPr>
          <w:ilvl w:val="0"/>
          <w:numId w:val="27"/>
        </w:numPr>
        <w:jc w:val="both"/>
        <w:rPr>
          <w:rFonts w:ascii="Arial" w:hAnsi="Arial" w:cs="Arial"/>
          <w:sz w:val="22"/>
          <w:szCs w:val="22"/>
          <w:lang w:val="es-ES"/>
        </w:rPr>
      </w:pPr>
      <w:r w:rsidRPr="005B57B7">
        <w:rPr>
          <w:rFonts w:ascii="Arial" w:hAnsi="Arial" w:cs="Arial"/>
          <w:sz w:val="22"/>
          <w:szCs w:val="22"/>
          <w:lang w:val="es-ES"/>
        </w:rPr>
        <w:t>Cumplir con los P</w:t>
      </w:r>
      <w:r w:rsidRPr="00E44481">
        <w:rPr>
          <w:rFonts w:ascii="Arial" w:hAnsi="Arial" w:cs="Arial"/>
          <w:sz w:val="22"/>
          <w:szCs w:val="22"/>
          <w:lang w:val="es-ES"/>
        </w:rPr>
        <w:t xml:space="preserve">rincipios y </w:t>
      </w:r>
      <w:r w:rsidRPr="005B57B7">
        <w:rPr>
          <w:rFonts w:ascii="Arial" w:hAnsi="Arial" w:cs="Arial"/>
          <w:sz w:val="22"/>
          <w:szCs w:val="22"/>
          <w:lang w:val="es-ES"/>
        </w:rPr>
        <w:t>D</w:t>
      </w:r>
      <w:r w:rsidRPr="00E44481">
        <w:rPr>
          <w:rFonts w:ascii="Arial" w:hAnsi="Arial" w:cs="Arial"/>
          <w:sz w:val="22"/>
          <w:szCs w:val="22"/>
          <w:lang w:val="es-ES"/>
        </w:rPr>
        <w:t>erechos fundamentales en el trabajo</w:t>
      </w:r>
      <w:r w:rsidRPr="00E44481">
        <w:rPr>
          <w:rStyle w:val="FootnoteReference"/>
          <w:rFonts w:ascii="Arial" w:hAnsi="Arial"/>
          <w:sz w:val="22"/>
          <w:szCs w:val="22"/>
          <w:vertAlign w:val="superscript"/>
          <w:lang w:val="es-ES"/>
        </w:rPr>
        <w:footnoteReference w:id="5"/>
      </w:r>
    </w:p>
    <w:p w:rsidR="00445E74" w:rsidRPr="005B57B7" w:rsidRDefault="00A82229" w:rsidP="00445E74">
      <w:pPr>
        <w:numPr>
          <w:ilvl w:val="0"/>
          <w:numId w:val="27"/>
        </w:numPr>
        <w:jc w:val="both"/>
        <w:rPr>
          <w:rFonts w:ascii="Arial" w:hAnsi="Arial" w:cs="Arial"/>
          <w:sz w:val="22"/>
          <w:szCs w:val="22"/>
          <w:lang w:val="es-ES"/>
        </w:rPr>
      </w:pPr>
      <w:r w:rsidRPr="005B57B7">
        <w:rPr>
          <w:rFonts w:ascii="Arial" w:hAnsi="Arial" w:cs="Arial"/>
          <w:sz w:val="22"/>
          <w:szCs w:val="22"/>
          <w:lang w:val="es-ES"/>
        </w:rPr>
        <w:t xml:space="preserve">Para los proyectos que involucran cambio de equipo, cumplir con el </w:t>
      </w:r>
      <w:r w:rsidR="007A7948" w:rsidRPr="005B57B7">
        <w:rPr>
          <w:rFonts w:ascii="Arial" w:hAnsi="Arial" w:cs="Arial"/>
          <w:sz w:val="22"/>
          <w:szCs w:val="22"/>
          <w:lang w:val="es-ES"/>
        </w:rPr>
        <w:t>Protocolo de Disposición de equipos y materiales reemplazados</w:t>
      </w:r>
      <w:r w:rsidR="00AF69E0">
        <w:rPr>
          <w:rFonts w:ascii="Arial" w:hAnsi="Arial" w:cs="Arial"/>
          <w:sz w:val="22"/>
          <w:szCs w:val="22"/>
          <w:lang w:val="es-ES"/>
        </w:rPr>
        <w:t xml:space="preserve">. Este protocolo consistirá en una declaración jurada por el sub-prestatario confirmando la chatarrización apropiada del equipo (véase Anexo 6). </w:t>
      </w:r>
    </w:p>
    <w:p w:rsidR="005B57B7" w:rsidRPr="005B57B7" w:rsidRDefault="005B57B7" w:rsidP="005B57B7">
      <w:pPr>
        <w:ind w:left="720"/>
        <w:jc w:val="both"/>
        <w:rPr>
          <w:rFonts w:ascii="Arial" w:hAnsi="Arial" w:cs="Arial"/>
          <w:sz w:val="22"/>
          <w:szCs w:val="22"/>
          <w:lang w:val="es-ES"/>
        </w:rPr>
      </w:pPr>
    </w:p>
    <w:p w:rsidR="002C2C51" w:rsidRPr="005B57B7" w:rsidRDefault="00591CAD" w:rsidP="00445E74">
      <w:pPr>
        <w:jc w:val="both"/>
        <w:rPr>
          <w:rFonts w:ascii="Arial" w:hAnsi="Arial" w:cs="Arial"/>
          <w:sz w:val="22"/>
          <w:szCs w:val="22"/>
          <w:lang w:val="es-ES"/>
        </w:rPr>
      </w:pPr>
      <w:r>
        <w:rPr>
          <w:rFonts w:ascii="Arial" w:hAnsi="Arial" w:cs="Arial"/>
          <w:sz w:val="22"/>
          <w:szCs w:val="22"/>
          <w:lang w:val="es-ES"/>
        </w:rPr>
        <w:t>BANCÓLDEX</w:t>
      </w:r>
      <w:r w:rsidR="00445E74" w:rsidRPr="005B57B7">
        <w:rPr>
          <w:rFonts w:ascii="Arial" w:hAnsi="Arial" w:cs="Arial"/>
          <w:sz w:val="22"/>
          <w:szCs w:val="22"/>
          <w:lang w:val="es-ES"/>
        </w:rPr>
        <w:t xml:space="preserve"> se compromete a analizar los riesgos ambientales y sociales potenciales de cada sub-préstamo a la luz de su Sistema de Gestión Ambiental &amp; Social (SARAS). Para este análisis, </w:t>
      </w:r>
      <w:r>
        <w:rPr>
          <w:rFonts w:ascii="Arial" w:hAnsi="Arial" w:cs="Arial"/>
          <w:sz w:val="22"/>
          <w:szCs w:val="22"/>
          <w:lang w:val="es-ES"/>
        </w:rPr>
        <w:t>BANCÓLDEX</w:t>
      </w:r>
      <w:r w:rsidR="00445E74" w:rsidRPr="005B57B7">
        <w:rPr>
          <w:rFonts w:ascii="Arial" w:hAnsi="Arial" w:cs="Arial"/>
          <w:sz w:val="22"/>
          <w:szCs w:val="22"/>
          <w:lang w:val="es-ES"/>
        </w:rPr>
        <w:t xml:space="preserve"> utilizará herramientas apropiadas </w:t>
      </w:r>
      <w:r w:rsidR="0075332B">
        <w:rPr>
          <w:rFonts w:ascii="Arial" w:hAnsi="Arial" w:cs="Arial"/>
          <w:sz w:val="22"/>
          <w:szCs w:val="22"/>
          <w:lang w:val="es-ES"/>
        </w:rPr>
        <w:t>para</w:t>
      </w:r>
      <w:r w:rsidR="00445E74" w:rsidRPr="005B57B7">
        <w:rPr>
          <w:rFonts w:ascii="Arial" w:hAnsi="Arial" w:cs="Arial"/>
          <w:sz w:val="22"/>
          <w:szCs w:val="22"/>
          <w:lang w:val="es-ES"/>
        </w:rPr>
        <w:t xml:space="preserve"> proyectos de energía renovables. En caso que se identifiquen riesgos potencialmente altos, </w:t>
      </w:r>
      <w:r>
        <w:rPr>
          <w:rFonts w:ascii="Arial" w:hAnsi="Arial" w:cs="Arial"/>
          <w:sz w:val="22"/>
          <w:szCs w:val="22"/>
          <w:lang w:val="es-ES"/>
        </w:rPr>
        <w:t>BANCÓLDEX</w:t>
      </w:r>
      <w:r w:rsidR="00445E74" w:rsidRPr="005B57B7">
        <w:rPr>
          <w:rFonts w:ascii="Arial" w:hAnsi="Arial" w:cs="Arial"/>
          <w:sz w:val="22"/>
          <w:szCs w:val="22"/>
          <w:lang w:val="es-ES"/>
        </w:rPr>
        <w:t xml:space="preserve"> requerirá </w:t>
      </w:r>
      <w:r w:rsidR="002C2C51" w:rsidRPr="005B57B7">
        <w:rPr>
          <w:rFonts w:ascii="Arial" w:hAnsi="Arial" w:cs="Arial"/>
          <w:sz w:val="22"/>
          <w:szCs w:val="22"/>
          <w:lang w:val="es-ES"/>
        </w:rPr>
        <w:t xml:space="preserve">del </w:t>
      </w:r>
      <w:r w:rsidR="0075332B">
        <w:rPr>
          <w:rFonts w:ascii="Arial" w:hAnsi="Arial" w:cs="Arial"/>
          <w:sz w:val="22"/>
          <w:szCs w:val="22"/>
          <w:lang w:val="es-ES"/>
        </w:rPr>
        <w:t>sub-</w:t>
      </w:r>
      <w:r w:rsidR="002C2C51" w:rsidRPr="005B57B7">
        <w:rPr>
          <w:rFonts w:ascii="Arial" w:hAnsi="Arial" w:cs="Arial"/>
          <w:sz w:val="22"/>
          <w:szCs w:val="22"/>
          <w:lang w:val="es-ES"/>
        </w:rPr>
        <w:t xml:space="preserve">prestatario </w:t>
      </w:r>
      <w:r w:rsidR="00445E74" w:rsidRPr="005B57B7">
        <w:rPr>
          <w:rFonts w:ascii="Arial" w:hAnsi="Arial" w:cs="Arial"/>
          <w:sz w:val="22"/>
          <w:szCs w:val="22"/>
          <w:lang w:val="es-ES"/>
        </w:rPr>
        <w:t xml:space="preserve">un plan de manejo </w:t>
      </w:r>
      <w:r w:rsidR="002C2C51" w:rsidRPr="005B57B7">
        <w:rPr>
          <w:rFonts w:ascii="Arial" w:hAnsi="Arial" w:cs="Arial"/>
          <w:sz w:val="22"/>
          <w:szCs w:val="22"/>
          <w:lang w:val="es-ES"/>
        </w:rPr>
        <w:t>de los riesgos identificados</w:t>
      </w:r>
      <w:r w:rsidR="00445E74" w:rsidRPr="005B57B7">
        <w:rPr>
          <w:rFonts w:ascii="Arial" w:hAnsi="Arial" w:cs="Arial"/>
          <w:sz w:val="22"/>
          <w:szCs w:val="22"/>
          <w:lang w:val="es-ES"/>
        </w:rPr>
        <w:t xml:space="preserve"> y se asegurará de </w:t>
      </w:r>
      <w:r w:rsidR="002C2C51" w:rsidRPr="005B57B7">
        <w:rPr>
          <w:rFonts w:ascii="Arial" w:hAnsi="Arial" w:cs="Arial"/>
          <w:sz w:val="22"/>
          <w:szCs w:val="22"/>
          <w:lang w:val="es-ES"/>
        </w:rPr>
        <w:t>la integración de este plan en los documentos legales de</w:t>
      </w:r>
      <w:r w:rsidR="0075332B">
        <w:rPr>
          <w:rFonts w:ascii="Arial" w:hAnsi="Arial" w:cs="Arial"/>
          <w:sz w:val="22"/>
          <w:szCs w:val="22"/>
          <w:lang w:val="es-ES"/>
        </w:rPr>
        <w:t>l</w:t>
      </w:r>
      <w:r w:rsidR="002C2C51" w:rsidRPr="005B57B7">
        <w:rPr>
          <w:rFonts w:ascii="Arial" w:hAnsi="Arial" w:cs="Arial"/>
          <w:sz w:val="22"/>
          <w:szCs w:val="22"/>
          <w:lang w:val="es-ES"/>
        </w:rPr>
        <w:t xml:space="preserve"> </w:t>
      </w:r>
      <w:r w:rsidR="0075332B">
        <w:rPr>
          <w:rFonts w:ascii="Arial" w:hAnsi="Arial" w:cs="Arial"/>
          <w:sz w:val="22"/>
          <w:szCs w:val="22"/>
          <w:lang w:val="es-ES"/>
        </w:rPr>
        <w:t>sub-</w:t>
      </w:r>
      <w:r w:rsidR="002C2C51" w:rsidRPr="005B57B7">
        <w:rPr>
          <w:rFonts w:ascii="Arial" w:hAnsi="Arial" w:cs="Arial"/>
          <w:sz w:val="22"/>
          <w:szCs w:val="22"/>
          <w:lang w:val="es-ES"/>
        </w:rPr>
        <w:t xml:space="preserve">préstamo.  </w:t>
      </w:r>
    </w:p>
    <w:p w:rsidR="00445E74" w:rsidRPr="005B57B7" w:rsidRDefault="00445E74" w:rsidP="00445E74">
      <w:pPr>
        <w:jc w:val="both"/>
        <w:rPr>
          <w:rFonts w:ascii="Arial" w:hAnsi="Arial" w:cs="Arial"/>
          <w:sz w:val="22"/>
          <w:szCs w:val="22"/>
          <w:lang w:val="es-ES"/>
        </w:rPr>
      </w:pPr>
      <w:r w:rsidRPr="005B57B7">
        <w:rPr>
          <w:rFonts w:ascii="Arial" w:hAnsi="Arial" w:cs="Arial"/>
          <w:sz w:val="22"/>
          <w:szCs w:val="22"/>
          <w:lang w:val="es-ES"/>
        </w:rPr>
        <w:t xml:space="preserve">  </w:t>
      </w:r>
    </w:p>
    <w:p w:rsidR="002C2C51" w:rsidRPr="005B57B7" w:rsidRDefault="002C2C51" w:rsidP="002C2C51">
      <w:pPr>
        <w:jc w:val="both"/>
        <w:rPr>
          <w:rFonts w:ascii="Arial" w:hAnsi="Arial" w:cs="Arial"/>
          <w:sz w:val="22"/>
          <w:szCs w:val="22"/>
          <w:lang w:val="es-ES"/>
        </w:rPr>
      </w:pPr>
      <w:r w:rsidRPr="005B57B7">
        <w:rPr>
          <w:rFonts w:ascii="Arial" w:hAnsi="Arial" w:cs="Arial"/>
          <w:sz w:val="22"/>
          <w:szCs w:val="22"/>
          <w:lang w:val="es-ES"/>
        </w:rPr>
        <w:lastRenderedPageBreak/>
        <w:t>BANCÓLDEX se compromete a preparar un informe periódico de desempeño ambiental y social  del programa.</w:t>
      </w:r>
      <w:r w:rsidRPr="005B57B7">
        <w:rPr>
          <w:rStyle w:val="FootnoteReference"/>
          <w:rFonts w:ascii="Arial" w:hAnsi="Arial"/>
          <w:sz w:val="22"/>
          <w:szCs w:val="22"/>
          <w:vertAlign w:val="superscript"/>
          <w:lang w:val="es-ES"/>
        </w:rPr>
        <w:footnoteReference w:id="6"/>
      </w:r>
    </w:p>
    <w:p w:rsidR="004B0E2A" w:rsidRPr="005B57B7" w:rsidRDefault="004B0E2A" w:rsidP="004B0E2A">
      <w:pPr>
        <w:jc w:val="both"/>
        <w:rPr>
          <w:rFonts w:ascii="Arial" w:hAnsi="Arial" w:cs="Arial"/>
          <w:sz w:val="22"/>
          <w:szCs w:val="22"/>
          <w:lang w:val="es-ES"/>
        </w:rPr>
      </w:pPr>
    </w:p>
    <w:p w:rsidR="00BA0C86" w:rsidRPr="005B57B7" w:rsidRDefault="008A131F" w:rsidP="004B0E2A">
      <w:pPr>
        <w:jc w:val="both"/>
        <w:rPr>
          <w:rFonts w:ascii="Arial" w:hAnsi="Arial" w:cs="Arial"/>
          <w:sz w:val="22"/>
          <w:szCs w:val="22"/>
          <w:lang w:val="es-ES"/>
        </w:rPr>
      </w:pPr>
      <w:r w:rsidRPr="005B57B7">
        <w:rPr>
          <w:rFonts w:ascii="Arial" w:hAnsi="Arial" w:cs="Arial"/>
          <w:sz w:val="22"/>
          <w:szCs w:val="22"/>
          <w:lang w:val="es-ES"/>
        </w:rPr>
        <w:t xml:space="preserve">En el caso de que </w:t>
      </w:r>
      <w:r w:rsidR="00C136B7" w:rsidRPr="005B57B7">
        <w:rPr>
          <w:rFonts w:ascii="Arial" w:hAnsi="Arial" w:cs="Arial"/>
          <w:sz w:val="22"/>
          <w:szCs w:val="22"/>
          <w:lang w:val="es-ES"/>
        </w:rPr>
        <w:t>BANCÓLDEX</w:t>
      </w:r>
      <w:r w:rsidR="00200832" w:rsidRPr="005B57B7">
        <w:rPr>
          <w:rFonts w:ascii="Arial" w:hAnsi="Arial" w:cs="Arial"/>
          <w:sz w:val="22"/>
          <w:szCs w:val="22"/>
          <w:lang w:val="es-ES"/>
        </w:rPr>
        <w:t xml:space="preserve"> </w:t>
      </w:r>
      <w:r w:rsidR="00157A28" w:rsidRPr="005B57B7">
        <w:rPr>
          <w:rFonts w:ascii="Arial" w:hAnsi="Arial" w:cs="Arial"/>
          <w:sz w:val="22"/>
          <w:szCs w:val="22"/>
          <w:lang w:val="es-ES"/>
        </w:rPr>
        <w:t>o</w:t>
      </w:r>
      <w:r w:rsidR="00200832" w:rsidRPr="005B57B7">
        <w:rPr>
          <w:rFonts w:ascii="Arial" w:hAnsi="Arial" w:cs="Arial"/>
          <w:sz w:val="22"/>
          <w:szCs w:val="22"/>
          <w:lang w:val="es-ES"/>
        </w:rPr>
        <w:t xml:space="preserve"> el BID</w:t>
      </w:r>
      <w:r w:rsidR="00157A28" w:rsidRPr="005B57B7">
        <w:rPr>
          <w:rFonts w:ascii="Arial" w:hAnsi="Arial" w:cs="Arial"/>
          <w:sz w:val="22"/>
          <w:szCs w:val="22"/>
          <w:lang w:val="es-ES"/>
        </w:rPr>
        <w:t xml:space="preserve"> </w:t>
      </w:r>
      <w:r w:rsidR="00954CA1" w:rsidRPr="005B57B7">
        <w:rPr>
          <w:rFonts w:ascii="Arial" w:hAnsi="Arial" w:cs="Arial"/>
          <w:sz w:val="22"/>
          <w:szCs w:val="22"/>
          <w:lang w:val="es-ES"/>
        </w:rPr>
        <w:t xml:space="preserve">lleguen a tener </w:t>
      </w:r>
      <w:r w:rsidR="005616F8" w:rsidRPr="005B57B7">
        <w:rPr>
          <w:rFonts w:ascii="Arial" w:hAnsi="Arial" w:cs="Arial"/>
          <w:sz w:val="22"/>
          <w:szCs w:val="22"/>
          <w:lang w:val="es-ES"/>
        </w:rPr>
        <w:t>conocimiento</w:t>
      </w:r>
      <w:r w:rsidR="00157A28" w:rsidRPr="005B57B7">
        <w:rPr>
          <w:rFonts w:ascii="Arial" w:hAnsi="Arial" w:cs="Arial"/>
          <w:sz w:val="22"/>
          <w:szCs w:val="22"/>
          <w:lang w:val="es-ES"/>
        </w:rPr>
        <w:t xml:space="preserve"> que un </w:t>
      </w:r>
      <w:r w:rsidR="00200832" w:rsidRPr="005B57B7">
        <w:rPr>
          <w:rFonts w:ascii="Arial" w:hAnsi="Arial" w:cs="Arial"/>
          <w:sz w:val="22"/>
          <w:szCs w:val="22"/>
          <w:lang w:val="es-ES"/>
        </w:rPr>
        <w:t>sub</w:t>
      </w:r>
      <w:r w:rsidR="006438ED" w:rsidRPr="005B57B7">
        <w:rPr>
          <w:rFonts w:ascii="Arial" w:hAnsi="Arial" w:cs="Arial"/>
          <w:sz w:val="22"/>
          <w:szCs w:val="22"/>
          <w:lang w:val="es-ES"/>
        </w:rPr>
        <w:t>-</w:t>
      </w:r>
      <w:r w:rsidR="00200832" w:rsidRPr="005B57B7">
        <w:rPr>
          <w:rFonts w:ascii="Arial" w:hAnsi="Arial" w:cs="Arial"/>
          <w:sz w:val="22"/>
          <w:szCs w:val="22"/>
          <w:lang w:val="es-ES"/>
        </w:rPr>
        <w:t>pr</w:t>
      </w:r>
      <w:r w:rsidR="006438ED" w:rsidRPr="005B57B7">
        <w:rPr>
          <w:rFonts w:ascii="Arial" w:hAnsi="Arial" w:cs="Arial"/>
          <w:sz w:val="22"/>
          <w:szCs w:val="22"/>
          <w:lang w:val="es-ES"/>
        </w:rPr>
        <w:t>é</w:t>
      </w:r>
      <w:r w:rsidR="00200832" w:rsidRPr="005B57B7">
        <w:rPr>
          <w:rFonts w:ascii="Arial" w:hAnsi="Arial" w:cs="Arial"/>
          <w:sz w:val="22"/>
          <w:szCs w:val="22"/>
          <w:lang w:val="es-ES"/>
        </w:rPr>
        <w:t xml:space="preserve">stamo </w:t>
      </w:r>
      <w:r w:rsidR="00157A28" w:rsidRPr="005B57B7">
        <w:rPr>
          <w:rFonts w:ascii="Arial" w:hAnsi="Arial" w:cs="Arial"/>
          <w:sz w:val="22"/>
          <w:szCs w:val="22"/>
          <w:lang w:val="es-ES"/>
        </w:rPr>
        <w:t xml:space="preserve">haya </w:t>
      </w:r>
      <w:r w:rsidR="00200832" w:rsidRPr="005B57B7">
        <w:rPr>
          <w:rFonts w:ascii="Arial" w:hAnsi="Arial" w:cs="Arial"/>
          <w:sz w:val="22"/>
          <w:szCs w:val="22"/>
          <w:lang w:val="es-ES"/>
        </w:rPr>
        <w:t>deja</w:t>
      </w:r>
      <w:r w:rsidR="00157A28" w:rsidRPr="005B57B7">
        <w:rPr>
          <w:rFonts w:ascii="Arial" w:hAnsi="Arial" w:cs="Arial"/>
          <w:sz w:val="22"/>
          <w:szCs w:val="22"/>
          <w:lang w:val="es-ES"/>
        </w:rPr>
        <w:t>do</w:t>
      </w:r>
      <w:r w:rsidR="00200832" w:rsidRPr="005B57B7">
        <w:rPr>
          <w:rFonts w:ascii="Arial" w:hAnsi="Arial" w:cs="Arial"/>
          <w:sz w:val="22"/>
          <w:szCs w:val="22"/>
          <w:lang w:val="es-ES"/>
        </w:rPr>
        <w:t xml:space="preserve"> de ser </w:t>
      </w:r>
      <w:r w:rsidRPr="005B57B7">
        <w:rPr>
          <w:rFonts w:ascii="Arial" w:hAnsi="Arial" w:cs="Arial"/>
          <w:sz w:val="22"/>
          <w:szCs w:val="22"/>
          <w:lang w:val="es-ES"/>
        </w:rPr>
        <w:t xml:space="preserve">elegible para financiamiento </w:t>
      </w:r>
      <w:r w:rsidR="00C77D87" w:rsidRPr="005B57B7">
        <w:rPr>
          <w:rFonts w:ascii="Arial" w:hAnsi="Arial" w:cs="Arial"/>
          <w:sz w:val="22"/>
          <w:szCs w:val="22"/>
          <w:lang w:val="es-ES"/>
        </w:rPr>
        <w:t xml:space="preserve">bajo el </w:t>
      </w:r>
      <w:r w:rsidRPr="005B57B7">
        <w:rPr>
          <w:rFonts w:ascii="Arial" w:hAnsi="Arial" w:cs="Arial"/>
          <w:sz w:val="22"/>
          <w:szCs w:val="22"/>
          <w:lang w:val="es-ES"/>
        </w:rPr>
        <w:t xml:space="preserve">Programa debido a consideraciones sociales o ambientales, </w:t>
      </w:r>
      <w:r w:rsidR="00C136B7" w:rsidRPr="005B57B7">
        <w:rPr>
          <w:rFonts w:ascii="Arial" w:hAnsi="Arial" w:cs="Arial"/>
          <w:sz w:val="22"/>
          <w:szCs w:val="22"/>
          <w:lang w:val="es-ES"/>
        </w:rPr>
        <w:t>BANCÓLDEX</w:t>
      </w:r>
      <w:r w:rsidR="00AD3A64" w:rsidRPr="005B57B7">
        <w:rPr>
          <w:rFonts w:ascii="Arial" w:hAnsi="Arial" w:cs="Arial"/>
          <w:sz w:val="22"/>
          <w:szCs w:val="22"/>
          <w:lang w:val="es-ES"/>
        </w:rPr>
        <w:t xml:space="preserve"> notificará al BID (o el BID a </w:t>
      </w:r>
      <w:r w:rsidR="00C136B7" w:rsidRPr="005B57B7">
        <w:rPr>
          <w:rFonts w:ascii="Arial" w:hAnsi="Arial" w:cs="Arial"/>
          <w:sz w:val="22"/>
          <w:szCs w:val="22"/>
          <w:lang w:val="es-ES"/>
        </w:rPr>
        <w:t>BANCÓLDEX</w:t>
      </w:r>
      <w:r w:rsidR="00AD3A64" w:rsidRPr="005B57B7">
        <w:rPr>
          <w:rFonts w:ascii="Arial" w:hAnsi="Arial" w:cs="Arial"/>
          <w:sz w:val="22"/>
          <w:szCs w:val="22"/>
          <w:lang w:val="es-ES"/>
        </w:rPr>
        <w:t>)</w:t>
      </w:r>
      <w:r w:rsidR="002C2C51" w:rsidRPr="005B57B7">
        <w:rPr>
          <w:rFonts w:ascii="Arial" w:hAnsi="Arial" w:cs="Arial"/>
          <w:sz w:val="22"/>
          <w:szCs w:val="22"/>
          <w:lang w:val="es-ES"/>
        </w:rPr>
        <w:t xml:space="preserve"> dentro de un plazo de cinco días</w:t>
      </w:r>
      <w:r w:rsidR="00AD3A64" w:rsidRPr="005B57B7">
        <w:rPr>
          <w:rFonts w:ascii="Arial" w:hAnsi="Arial" w:cs="Arial"/>
          <w:sz w:val="22"/>
          <w:szCs w:val="22"/>
          <w:lang w:val="es-ES"/>
        </w:rPr>
        <w:t xml:space="preserve">, y </w:t>
      </w:r>
      <w:r w:rsidR="00C136B7" w:rsidRPr="005B57B7">
        <w:rPr>
          <w:rFonts w:ascii="Arial" w:hAnsi="Arial" w:cs="Arial"/>
          <w:sz w:val="22"/>
          <w:szCs w:val="22"/>
          <w:lang w:val="es-ES"/>
        </w:rPr>
        <w:t>BANCÓLDEX</w:t>
      </w:r>
      <w:r w:rsidR="00AD3A64" w:rsidRPr="005B57B7">
        <w:rPr>
          <w:rFonts w:ascii="Arial" w:hAnsi="Arial" w:cs="Arial"/>
          <w:sz w:val="22"/>
          <w:szCs w:val="22"/>
          <w:lang w:val="es-ES"/>
        </w:rPr>
        <w:t xml:space="preserve"> podrá optar por</w:t>
      </w:r>
      <w:r w:rsidR="00BA6736" w:rsidRPr="005B57B7">
        <w:rPr>
          <w:rFonts w:ascii="Arial" w:hAnsi="Arial" w:cs="Arial"/>
          <w:sz w:val="22"/>
          <w:szCs w:val="22"/>
          <w:lang w:val="es-ES"/>
        </w:rPr>
        <w:t>, dentro de un plazo de 120 días u otro acordado con el BID</w:t>
      </w:r>
      <w:r w:rsidR="00AD3A64" w:rsidRPr="005B57B7">
        <w:rPr>
          <w:rFonts w:ascii="Arial" w:hAnsi="Arial" w:cs="Arial"/>
          <w:sz w:val="22"/>
          <w:szCs w:val="22"/>
          <w:lang w:val="es-ES"/>
        </w:rPr>
        <w:t>: (1) negociar un plan de acción correctiva</w:t>
      </w:r>
      <w:r w:rsidR="009363D0" w:rsidRPr="005B57B7">
        <w:rPr>
          <w:rFonts w:ascii="Arial" w:hAnsi="Arial" w:cs="Arial"/>
          <w:sz w:val="22"/>
          <w:szCs w:val="22"/>
          <w:lang w:val="es-ES"/>
        </w:rPr>
        <w:t>,</w:t>
      </w:r>
      <w:r w:rsidR="00AD3A64" w:rsidRPr="005B57B7">
        <w:rPr>
          <w:rFonts w:ascii="Arial" w:hAnsi="Arial" w:cs="Arial"/>
          <w:sz w:val="22"/>
          <w:szCs w:val="22"/>
          <w:lang w:val="es-ES"/>
        </w:rPr>
        <w:t xml:space="preserve"> aceptable para el BID</w:t>
      </w:r>
      <w:r w:rsidR="009363D0" w:rsidRPr="005B57B7">
        <w:rPr>
          <w:rFonts w:ascii="Arial" w:hAnsi="Arial" w:cs="Arial"/>
          <w:sz w:val="22"/>
          <w:szCs w:val="22"/>
          <w:lang w:val="es-ES"/>
        </w:rPr>
        <w:t>,</w:t>
      </w:r>
      <w:r w:rsidR="00AD3A64" w:rsidRPr="005B57B7">
        <w:rPr>
          <w:rFonts w:ascii="Arial" w:hAnsi="Arial" w:cs="Arial"/>
          <w:sz w:val="22"/>
          <w:szCs w:val="22"/>
          <w:lang w:val="es-ES"/>
        </w:rPr>
        <w:t xml:space="preserve"> con la IFI y el sub</w:t>
      </w:r>
      <w:r w:rsidR="00A7190B" w:rsidRPr="005B57B7">
        <w:rPr>
          <w:rFonts w:ascii="Arial" w:hAnsi="Arial" w:cs="Arial"/>
          <w:sz w:val="22"/>
          <w:szCs w:val="22"/>
          <w:lang w:val="es-ES"/>
        </w:rPr>
        <w:t>-</w:t>
      </w:r>
      <w:r w:rsidR="00AD3A64" w:rsidRPr="005B57B7">
        <w:rPr>
          <w:rFonts w:ascii="Arial" w:hAnsi="Arial" w:cs="Arial"/>
          <w:sz w:val="22"/>
          <w:szCs w:val="22"/>
          <w:lang w:val="es-ES"/>
        </w:rPr>
        <w:t>prestatario respectivo</w:t>
      </w:r>
      <w:r w:rsidRPr="005B57B7">
        <w:rPr>
          <w:rFonts w:ascii="Arial" w:hAnsi="Arial" w:cs="Arial"/>
          <w:sz w:val="22"/>
          <w:szCs w:val="22"/>
          <w:lang w:val="es-ES"/>
        </w:rPr>
        <w:t>;</w:t>
      </w:r>
      <w:r w:rsidR="005B57B7" w:rsidRPr="005B57B7">
        <w:rPr>
          <w:rFonts w:ascii="Arial" w:hAnsi="Arial" w:cs="Arial"/>
          <w:sz w:val="22"/>
          <w:szCs w:val="22"/>
          <w:lang w:val="es-ES"/>
        </w:rPr>
        <w:t xml:space="preserve"> o (2) </w:t>
      </w:r>
      <w:r w:rsidR="00B47939" w:rsidRPr="005B57B7">
        <w:rPr>
          <w:rFonts w:ascii="Arial" w:hAnsi="Arial" w:cs="Arial"/>
          <w:sz w:val="22"/>
          <w:szCs w:val="22"/>
          <w:lang w:val="es-ES"/>
        </w:rPr>
        <w:t>remov</w:t>
      </w:r>
      <w:r w:rsidR="00AD3A64" w:rsidRPr="005B57B7">
        <w:rPr>
          <w:rFonts w:ascii="Arial" w:hAnsi="Arial" w:cs="Arial"/>
          <w:sz w:val="22"/>
          <w:szCs w:val="22"/>
          <w:lang w:val="es-ES"/>
        </w:rPr>
        <w:t>er el sub</w:t>
      </w:r>
      <w:r w:rsidR="00A7190B" w:rsidRPr="005B57B7">
        <w:rPr>
          <w:rFonts w:ascii="Arial" w:hAnsi="Arial" w:cs="Arial"/>
          <w:sz w:val="22"/>
          <w:szCs w:val="22"/>
          <w:lang w:val="es-ES"/>
        </w:rPr>
        <w:t>-</w:t>
      </w:r>
      <w:r w:rsidR="00AD3A64" w:rsidRPr="005B57B7">
        <w:rPr>
          <w:rFonts w:ascii="Arial" w:hAnsi="Arial" w:cs="Arial"/>
          <w:sz w:val="22"/>
          <w:szCs w:val="22"/>
          <w:lang w:val="es-ES"/>
        </w:rPr>
        <w:t>préstamo</w:t>
      </w:r>
      <w:r w:rsidR="00B47939" w:rsidRPr="005B57B7">
        <w:rPr>
          <w:rFonts w:ascii="Arial" w:hAnsi="Arial" w:cs="Arial"/>
          <w:sz w:val="22"/>
          <w:szCs w:val="22"/>
          <w:lang w:val="es-ES"/>
        </w:rPr>
        <w:t xml:space="preserve"> de la cartera del BID</w:t>
      </w:r>
      <w:r w:rsidR="00200832" w:rsidRPr="005B57B7">
        <w:rPr>
          <w:rFonts w:ascii="Arial" w:hAnsi="Arial" w:cs="Arial"/>
          <w:sz w:val="22"/>
          <w:szCs w:val="22"/>
          <w:lang w:val="es-ES"/>
        </w:rPr>
        <w:t xml:space="preserve">. </w:t>
      </w:r>
    </w:p>
    <w:p w:rsidR="0050047E" w:rsidRPr="005B57B7" w:rsidRDefault="0050047E" w:rsidP="00CD3EE8">
      <w:pPr>
        <w:pStyle w:val="Heading2"/>
        <w:tabs>
          <w:tab w:val="clear" w:pos="1836"/>
        </w:tabs>
        <w:ind w:left="1440" w:hanging="990"/>
        <w:jc w:val="both"/>
        <w:rPr>
          <w:color w:val="auto"/>
          <w:sz w:val="28"/>
          <w:szCs w:val="32"/>
        </w:rPr>
      </w:pPr>
      <w:bookmarkStart w:id="54" w:name="_Toc217379114"/>
      <w:bookmarkStart w:id="55" w:name="_Toc428252170"/>
      <w:bookmarkStart w:id="56" w:name="_Toc431307126"/>
      <w:r w:rsidRPr="005B57B7">
        <w:rPr>
          <w:color w:val="auto"/>
          <w:sz w:val="28"/>
          <w:szCs w:val="32"/>
        </w:rPr>
        <w:t>Limitación de destinación de utilización de los recursos</w:t>
      </w:r>
      <w:bookmarkEnd w:id="54"/>
      <w:bookmarkEnd w:id="55"/>
      <w:bookmarkEnd w:id="56"/>
    </w:p>
    <w:p w:rsidR="007E04A2" w:rsidRPr="005B57B7" w:rsidRDefault="00200832" w:rsidP="004B0E2A">
      <w:pPr>
        <w:jc w:val="both"/>
        <w:rPr>
          <w:rFonts w:ascii="Arial" w:hAnsi="Arial" w:cs="Arial"/>
          <w:sz w:val="22"/>
          <w:szCs w:val="22"/>
          <w:lang w:val="es-ES"/>
        </w:rPr>
      </w:pPr>
      <w:r w:rsidRPr="005B57B7">
        <w:rPr>
          <w:rFonts w:ascii="Arial" w:hAnsi="Arial" w:cs="Arial"/>
          <w:sz w:val="22"/>
          <w:szCs w:val="22"/>
          <w:lang w:val="es-ES"/>
        </w:rPr>
        <w:t>Adicionalmente a</w:t>
      </w:r>
      <w:r w:rsidR="008678E7" w:rsidRPr="005B57B7">
        <w:rPr>
          <w:rFonts w:ascii="Arial" w:hAnsi="Arial" w:cs="Arial"/>
          <w:sz w:val="22"/>
          <w:szCs w:val="22"/>
          <w:lang w:val="es-ES"/>
        </w:rPr>
        <w:t xml:space="preserve"> las limitaciones</w:t>
      </w:r>
      <w:r w:rsidR="00316C96" w:rsidRPr="005B57B7">
        <w:rPr>
          <w:rFonts w:ascii="Arial" w:hAnsi="Arial" w:cs="Arial"/>
          <w:sz w:val="22"/>
          <w:szCs w:val="22"/>
          <w:lang w:val="es-ES"/>
        </w:rPr>
        <w:t xml:space="preserve"> establecidas en la sección anterior vinculadas a los temas ambientales y sociales, no podrán concederse sub-préstamos c</w:t>
      </w:r>
      <w:r w:rsidR="0050047E" w:rsidRPr="005B57B7">
        <w:rPr>
          <w:rFonts w:ascii="Arial" w:hAnsi="Arial" w:cs="Arial"/>
          <w:sz w:val="22"/>
          <w:szCs w:val="22"/>
          <w:lang w:val="es-ES"/>
        </w:rPr>
        <w:t xml:space="preserve">on recursos del Programa (Financiamiento del BID y Contrapartida </w:t>
      </w:r>
      <w:r w:rsidR="00E50AFA" w:rsidRPr="005B57B7">
        <w:rPr>
          <w:rFonts w:ascii="Arial" w:hAnsi="Arial" w:cs="Arial"/>
          <w:sz w:val="22"/>
          <w:szCs w:val="22"/>
          <w:lang w:val="es-ES"/>
        </w:rPr>
        <w:t xml:space="preserve">de </w:t>
      </w:r>
      <w:r w:rsidR="00C136B7" w:rsidRPr="005B57B7">
        <w:rPr>
          <w:rFonts w:ascii="Arial" w:hAnsi="Arial" w:cs="Arial"/>
          <w:sz w:val="22"/>
          <w:szCs w:val="22"/>
          <w:lang w:val="es-ES"/>
        </w:rPr>
        <w:t>BANCÓLDEX</w:t>
      </w:r>
      <w:r w:rsidR="0050047E" w:rsidRPr="005B57B7">
        <w:rPr>
          <w:rFonts w:ascii="Arial" w:hAnsi="Arial" w:cs="Arial"/>
          <w:sz w:val="22"/>
          <w:szCs w:val="22"/>
          <w:lang w:val="es-ES"/>
        </w:rPr>
        <w:t>), para: (i) gastos generales y de administración de los sub-prestatarios; (ii)  capital de trabajo, excepto el asociado a la inversión financiada por e</w:t>
      </w:r>
      <w:r w:rsidR="00E50AFA" w:rsidRPr="005B57B7">
        <w:rPr>
          <w:rFonts w:ascii="Arial" w:hAnsi="Arial" w:cs="Arial"/>
          <w:sz w:val="22"/>
          <w:szCs w:val="22"/>
          <w:lang w:val="es-ES"/>
        </w:rPr>
        <w:t>l</w:t>
      </w:r>
      <w:r w:rsidR="0050047E" w:rsidRPr="005B57B7">
        <w:rPr>
          <w:rFonts w:ascii="Arial" w:hAnsi="Arial" w:cs="Arial"/>
          <w:sz w:val="22"/>
          <w:szCs w:val="22"/>
          <w:lang w:val="es-ES"/>
        </w:rPr>
        <w:t xml:space="preserve"> ente crediticio; (iii) adquisición de inmuebles</w:t>
      </w:r>
      <w:r w:rsidR="00522D7B" w:rsidRPr="005B57B7">
        <w:rPr>
          <w:rFonts w:ascii="Arial" w:hAnsi="Arial" w:cs="Arial"/>
          <w:sz w:val="22"/>
          <w:szCs w:val="22"/>
          <w:lang w:val="es-ES"/>
        </w:rPr>
        <w:t xml:space="preserve">; </w:t>
      </w:r>
      <w:r w:rsidR="0050047E" w:rsidRPr="005B57B7">
        <w:rPr>
          <w:rFonts w:ascii="Arial" w:hAnsi="Arial" w:cs="Arial"/>
          <w:sz w:val="22"/>
          <w:szCs w:val="22"/>
          <w:lang w:val="es-ES"/>
        </w:rPr>
        <w:t>y (iv) la compra de acciones.</w:t>
      </w:r>
    </w:p>
    <w:p w:rsidR="0050047E" w:rsidRPr="005B57B7" w:rsidRDefault="0050047E" w:rsidP="00CD3EE8">
      <w:pPr>
        <w:pStyle w:val="Heading2"/>
        <w:tabs>
          <w:tab w:val="clear" w:pos="1836"/>
        </w:tabs>
        <w:ind w:left="1260" w:hanging="810"/>
        <w:jc w:val="both"/>
        <w:rPr>
          <w:color w:val="auto"/>
          <w:sz w:val="28"/>
          <w:szCs w:val="32"/>
        </w:rPr>
      </w:pPr>
      <w:bookmarkStart w:id="57" w:name="_Toc217379115"/>
      <w:bookmarkStart w:id="58" w:name="_Toc428252171"/>
      <w:bookmarkStart w:id="59" w:name="_Toc431307127"/>
      <w:r w:rsidRPr="005B57B7">
        <w:rPr>
          <w:color w:val="auto"/>
          <w:sz w:val="28"/>
          <w:szCs w:val="32"/>
        </w:rPr>
        <w:t>Financiación de importaciones de Países Miembros</w:t>
      </w:r>
      <w:bookmarkEnd w:id="57"/>
      <w:bookmarkEnd w:id="58"/>
      <w:bookmarkEnd w:id="59"/>
    </w:p>
    <w:p w:rsidR="00634D4E" w:rsidRPr="005B57B7" w:rsidRDefault="00634D4E" w:rsidP="004B0E2A">
      <w:pPr>
        <w:jc w:val="both"/>
        <w:rPr>
          <w:rFonts w:ascii="Arial" w:hAnsi="Arial" w:cs="Arial"/>
          <w:sz w:val="22"/>
          <w:szCs w:val="22"/>
          <w:lang w:val="es-ES"/>
        </w:rPr>
      </w:pPr>
      <w:r w:rsidRPr="005B57B7">
        <w:rPr>
          <w:rFonts w:ascii="Arial" w:hAnsi="Arial" w:cs="Arial"/>
          <w:sz w:val="22"/>
          <w:szCs w:val="22"/>
          <w:lang w:val="es-ES"/>
        </w:rPr>
        <w:t xml:space="preserve">Ningún sub-préstamo bajo la financiación del BID podrá ser aplicado directa o indirectamente para la financiación de importaciones de países </w:t>
      </w:r>
      <w:r w:rsidR="00376DFF">
        <w:rPr>
          <w:rFonts w:ascii="Arial" w:hAnsi="Arial" w:cs="Arial"/>
          <w:sz w:val="22"/>
          <w:szCs w:val="22"/>
          <w:lang w:val="es-ES"/>
        </w:rPr>
        <w:t>no miembros del BID (Ver Anexo 5</w:t>
      </w:r>
      <w:r w:rsidRPr="005B57B7">
        <w:rPr>
          <w:rFonts w:ascii="Arial" w:hAnsi="Arial" w:cs="Arial"/>
          <w:sz w:val="22"/>
          <w:szCs w:val="22"/>
          <w:lang w:val="es-ES"/>
        </w:rPr>
        <w:t xml:space="preserve"> - Países Miembros)</w:t>
      </w:r>
      <w:r w:rsidR="00591CAD">
        <w:rPr>
          <w:rFonts w:ascii="Arial" w:hAnsi="Arial" w:cs="Arial"/>
          <w:sz w:val="22"/>
          <w:szCs w:val="22"/>
          <w:lang w:val="es-ES"/>
        </w:rPr>
        <w:t>.</w:t>
      </w:r>
    </w:p>
    <w:p w:rsidR="00634D4E" w:rsidRPr="005B57B7" w:rsidRDefault="00634D4E" w:rsidP="00CD3EE8">
      <w:pPr>
        <w:pStyle w:val="Heading2"/>
        <w:tabs>
          <w:tab w:val="clear" w:pos="1836"/>
        </w:tabs>
        <w:ind w:left="1260" w:hanging="810"/>
        <w:jc w:val="both"/>
        <w:rPr>
          <w:color w:val="auto"/>
          <w:sz w:val="28"/>
          <w:szCs w:val="32"/>
        </w:rPr>
      </w:pPr>
      <w:bookmarkStart w:id="60" w:name="_Toc428252172"/>
      <w:bookmarkStart w:id="61" w:name="_Toc431307128"/>
      <w:r w:rsidRPr="005B57B7">
        <w:rPr>
          <w:color w:val="auto"/>
          <w:sz w:val="28"/>
          <w:szCs w:val="32"/>
        </w:rPr>
        <w:t>Otras condiciones de los sub-préstamos con financiación del Programa</w:t>
      </w:r>
      <w:bookmarkEnd w:id="60"/>
      <w:bookmarkEnd w:id="61"/>
    </w:p>
    <w:p w:rsidR="007E04A2" w:rsidRPr="005B57B7" w:rsidRDefault="00C77D87" w:rsidP="004B0E2A">
      <w:pPr>
        <w:jc w:val="both"/>
        <w:rPr>
          <w:rFonts w:ascii="Arial" w:hAnsi="Arial" w:cs="Arial"/>
          <w:sz w:val="22"/>
          <w:szCs w:val="22"/>
          <w:lang w:val="es-ES"/>
        </w:rPr>
      </w:pPr>
      <w:r w:rsidRPr="005B57B7">
        <w:rPr>
          <w:rFonts w:ascii="Arial" w:hAnsi="Arial" w:cs="Arial"/>
          <w:sz w:val="22"/>
          <w:szCs w:val="22"/>
          <w:lang w:val="es-ES"/>
        </w:rPr>
        <w:t>En todos los sub-préstamos que se otorguen con cargo al Financiamiento del Programa, deberán cumplirse las siguientes condiciones:</w:t>
      </w:r>
    </w:p>
    <w:p w:rsidR="0050047E" w:rsidRPr="005B57B7" w:rsidRDefault="00C77D87" w:rsidP="005C0337">
      <w:pPr>
        <w:pStyle w:val="Heading3"/>
        <w:rPr>
          <w:sz w:val="24"/>
          <w:szCs w:val="32"/>
          <w:lang w:val="es-ES"/>
        </w:rPr>
      </w:pPr>
      <w:bookmarkStart w:id="62" w:name="_Toc428252173"/>
      <w:bookmarkStart w:id="63" w:name="_Toc431307129"/>
      <w:bookmarkStart w:id="64" w:name="_Toc217379116"/>
      <w:r w:rsidRPr="005B57B7">
        <w:rPr>
          <w:sz w:val="24"/>
          <w:szCs w:val="32"/>
          <w:lang w:val="es-ES"/>
        </w:rPr>
        <w:t>Utilización de los créditos</w:t>
      </w:r>
      <w:bookmarkEnd w:id="62"/>
      <w:bookmarkEnd w:id="63"/>
      <w:r w:rsidRPr="005B57B7" w:rsidDel="00C77D87">
        <w:rPr>
          <w:sz w:val="24"/>
          <w:szCs w:val="32"/>
          <w:lang w:val="es-ES"/>
        </w:rPr>
        <w:t xml:space="preserve"> </w:t>
      </w:r>
      <w:bookmarkEnd w:id="64"/>
    </w:p>
    <w:p w:rsidR="00622CC4" w:rsidRPr="005B57B7" w:rsidRDefault="0050047E" w:rsidP="004B0E2A">
      <w:pPr>
        <w:jc w:val="both"/>
        <w:rPr>
          <w:sz w:val="28"/>
          <w:szCs w:val="32"/>
          <w:lang w:val="es-ES"/>
        </w:rPr>
      </w:pPr>
      <w:bookmarkStart w:id="65" w:name="_Toc217379118"/>
      <w:r w:rsidRPr="005B57B7">
        <w:rPr>
          <w:rFonts w:ascii="Arial" w:hAnsi="Arial" w:cs="Arial"/>
          <w:sz w:val="22"/>
          <w:szCs w:val="22"/>
          <w:lang w:val="es-ES"/>
        </w:rPr>
        <w:t>El compromiso del sub-prestatario de que los bienes y servicios que se financien con el sub-préstamo se utilizarán exclusivamente en la ejecución del respectivo sub-proyecto.</w:t>
      </w:r>
      <w:bookmarkStart w:id="66" w:name="_Toc217379119"/>
      <w:bookmarkEnd w:id="65"/>
      <w:r w:rsidR="00366794" w:rsidRPr="005B57B7">
        <w:rPr>
          <w:sz w:val="28"/>
          <w:szCs w:val="32"/>
          <w:lang w:val="es-ES"/>
        </w:rPr>
        <w:t xml:space="preserve"> </w:t>
      </w:r>
    </w:p>
    <w:p w:rsidR="00622CC4" w:rsidRPr="005B57B7" w:rsidRDefault="007E04A2" w:rsidP="005C0337">
      <w:pPr>
        <w:pStyle w:val="Heading3"/>
        <w:rPr>
          <w:sz w:val="24"/>
          <w:szCs w:val="32"/>
          <w:lang w:val="es-ES"/>
        </w:rPr>
      </w:pPr>
      <w:bookmarkStart w:id="67" w:name="_Toc428252174"/>
      <w:bookmarkStart w:id="68" w:name="_Toc431307130"/>
      <w:r w:rsidRPr="005B57B7">
        <w:rPr>
          <w:sz w:val="24"/>
          <w:szCs w:val="32"/>
          <w:lang w:val="es-ES"/>
        </w:rPr>
        <w:t>El derecho de inspección</w:t>
      </w:r>
      <w:bookmarkStart w:id="69" w:name="_Toc217379120"/>
      <w:bookmarkEnd w:id="66"/>
      <w:bookmarkEnd w:id="67"/>
      <w:bookmarkEnd w:id="68"/>
    </w:p>
    <w:p w:rsidR="00622CC4" w:rsidRPr="005B57B7" w:rsidRDefault="00C136B7" w:rsidP="004B0E2A">
      <w:pPr>
        <w:jc w:val="both"/>
        <w:rPr>
          <w:sz w:val="32"/>
          <w:szCs w:val="32"/>
          <w:lang w:val="es-ES"/>
        </w:rPr>
      </w:pPr>
      <w:r w:rsidRPr="005B57B7">
        <w:rPr>
          <w:rFonts w:ascii="Arial" w:hAnsi="Arial" w:cs="Arial"/>
          <w:sz w:val="22"/>
          <w:szCs w:val="22"/>
          <w:lang w:val="es-ES"/>
        </w:rPr>
        <w:t>BANCÓLDEX</w:t>
      </w:r>
      <w:r w:rsidR="00C77D87" w:rsidRPr="005B57B7">
        <w:rPr>
          <w:rFonts w:ascii="Arial" w:hAnsi="Arial" w:cs="Arial"/>
          <w:sz w:val="22"/>
          <w:szCs w:val="22"/>
          <w:lang w:val="es-ES"/>
        </w:rPr>
        <w:t>,</w:t>
      </w:r>
      <w:r w:rsidR="00371CD8" w:rsidRPr="005B57B7">
        <w:rPr>
          <w:rFonts w:ascii="Arial" w:hAnsi="Arial" w:cs="Arial"/>
          <w:sz w:val="22"/>
          <w:szCs w:val="22"/>
          <w:lang w:val="es-ES"/>
        </w:rPr>
        <w:t xml:space="preserve"> </w:t>
      </w:r>
      <w:r w:rsidR="00C77D87" w:rsidRPr="005B57B7">
        <w:rPr>
          <w:rFonts w:ascii="Arial" w:hAnsi="Arial" w:cs="Arial"/>
          <w:sz w:val="22"/>
          <w:szCs w:val="22"/>
          <w:lang w:val="es-ES"/>
        </w:rPr>
        <w:t xml:space="preserve">el </w:t>
      </w:r>
      <w:r w:rsidR="00371CD8" w:rsidRPr="005B57B7">
        <w:rPr>
          <w:rFonts w:ascii="Arial" w:hAnsi="Arial" w:cs="Arial"/>
          <w:sz w:val="22"/>
          <w:szCs w:val="22"/>
          <w:lang w:val="es-ES"/>
        </w:rPr>
        <w:t>Ente Crediticio</w:t>
      </w:r>
      <w:r w:rsidR="00622CC4" w:rsidRPr="005B57B7">
        <w:rPr>
          <w:rFonts w:ascii="Arial" w:hAnsi="Arial" w:cs="Arial"/>
          <w:sz w:val="22"/>
          <w:szCs w:val="22"/>
          <w:lang w:val="es-ES"/>
        </w:rPr>
        <w:t xml:space="preserve"> y </w:t>
      </w:r>
      <w:r w:rsidR="00371CD8" w:rsidRPr="005B57B7">
        <w:rPr>
          <w:rFonts w:ascii="Arial" w:hAnsi="Arial" w:cs="Arial"/>
          <w:sz w:val="22"/>
          <w:szCs w:val="22"/>
          <w:lang w:val="es-ES"/>
        </w:rPr>
        <w:t xml:space="preserve">el BID tienen el derecho a examinar los bienes, los lugares, los trabajos y las construcciones del respectivo sub-proyecto, incluyendo todo lo relativo al cumplimiento de las condiciones socio-ambientales. </w:t>
      </w:r>
      <w:bookmarkStart w:id="70" w:name="_Toc217379121"/>
      <w:bookmarkEnd w:id="69"/>
    </w:p>
    <w:p w:rsidR="00622CC4" w:rsidRPr="005B57B7" w:rsidRDefault="007E04A2" w:rsidP="005C0337">
      <w:pPr>
        <w:pStyle w:val="Heading3"/>
        <w:rPr>
          <w:sz w:val="24"/>
          <w:szCs w:val="32"/>
          <w:lang w:val="es-ES"/>
        </w:rPr>
      </w:pPr>
      <w:bookmarkStart w:id="71" w:name="_Toc428252175"/>
      <w:bookmarkStart w:id="72" w:name="_Toc431307131"/>
      <w:r w:rsidRPr="005B57B7">
        <w:rPr>
          <w:sz w:val="24"/>
          <w:szCs w:val="32"/>
          <w:lang w:val="es-ES"/>
        </w:rPr>
        <w:t>La obligación de entrega de información</w:t>
      </w:r>
      <w:bookmarkStart w:id="73" w:name="_Toc217379122"/>
      <w:bookmarkEnd w:id="70"/>
      <w:bookmarkEnd w:id="71"/>
      <w:bookmarkEnd w:id="72"/>
    </w:p>
    <w:p w:rsidR="00622CC4" w:rsidRPr="005B57B7" w:rsidRDefault="00C136B7" w:rsidP="004B0E2A">
      <w:pPr>
        <w:jc w:val="both"/>
        <w:rPr>
          <w:rFonts w:ascii="Arial" w:hAnsi="Arial" w:cs="Arial"/>
          <w:sz w:val="22"/>
          <w:szCs w:val="22"/>
          <w:lang w:val="es-ES"/>
        </w:rPr>
      </w:pPr>
      <w:r w:rsidRPr="005B57B7">
        <w:rPr>
          <w:rFonts w:ascii="Arial" w:hAnsi="Arial" w:cs="Arial"/>
          <w:sz w:val="22"/>
          <w:szCs w:val="22"/>
          <w:lang w:val="es-ES"/>
        </w:rPr>
        <w:t>BANCÓLDEX</w:t>
      </w:r>
      <w:r w:rsidR="00371CD8" w:rsidRPr="005B57B7">
        <w:rPr>
          <w:rFonts w:ascii="Arial" w:hAnsi="Arial" w:cs="Arial"/>
          <w:sz w:val="22"/>
          <w:szCs w:val="22"/>
          <w:lang w:val="es-ES"/>
        </w:rPr>
        <w:t>, el Ente Crediticio y el BID tienen el derecho de solicitarle al sub-prestatario</w:t>
      </w:r>
      <w:r w:rsidR="008F2A52" w:rsidRPr="005B57B7">
        <w:rPr>
          <w:rFonts w:ascii="Arial" w:hAnsi="Arial" w:cs="Arial"/>
          <w:sz w:val="22"/>
          <w:szCs w:val="22"/>
          <w:lang w:val="es-ES"/>
        </w:rPr>
        <w:t xml:space="preserve"> todas la informaci</w:t>
      </w:r>
      <w:r w:rsidR="00124EFA" w:rsidRPr="005B57B7">
        <w:rPr>
          <w:rFonts w:ascii="Arial" w:hAnsi="Arial" w:cs="Arial"/>
          <w:sz w:val="22"/>
          <w:szCs w:val="22"/>
          <w:lang w:val="es-ES"/>
        </w:rPr>
        <w:t>ón</w:t>
      </w:r>
      <w:r w:rsidR="008F2A52" w:rsidRPr="005B57B7">
        <w:rPr>
          <w:rFonts w:ascii="Arial" w:hAnsi="Arial" w:cs="Arial"/>
          <w:sz w:val="22"/>
          <w:szCs w:val="22"/>
          <w:lang w:val="es-ES"/>
        </w:rPr>
        <w:t xml:space="preserve"> en relación con el sub-proyecto y con el desempeño y la situación financiera y socio-ambiental  del proyecto y de la empresa sub-prestataria.</w:t>
      </w:r>
      <w:bookmarkStart w:id="74" w:name="_Toc217379123"/>
      <w:bookmarkEnd w:id="73"/>
    </w:p>
    <w:p w:rsidR="00622CC4" w:rsidRPr="005B57B7" w:rsidRDefault="007E04A2" w:rsidP="005C0337">
      <w:pPr>
        <w:pStyle w:val="Heading3"/>
        <w:rPr>
          <w:sz w:val="24"/>
          <w:szCs w:val="32"/>
          <w:lang w:val="es-ES"/>
        </w:rPr>
      </w:pPr>
      <w:bookmarkStart w:id="75" w:name="_Toc428252176"/>
      <w:bookmarkStart w:id="76" w:name="_Toc431307132"/>
      <w:r w:rsidRPr="005B57B7">
        <w:rPr>
          <w:sz w:val="24"/>
          <w:szCs w:val="32"/>
          <w:lang w:val="es-ES"/>
        </w:rPr>
        <w:t>El derecho de suspender desembolsos</w:t>
      </w:r>
      <w:bookmarkStart w:id="77" w:name="_Toc217379124"/>
      <w:bookmarkEnd w:id="74"/>
      <w:bookmarkEnd w:id="75"/>
      <w:bookmarkEnd w:id="76"/>
    </w:p>
    <w:p w:rsidR="00622CC4"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El </w:t>
      </w:r>
      <w:bookmarkEnd w:id="77"/>
      <w:r w:rsidRPr="005B57B7">
        <w:rPr>
          <w:rFonts w:ascii="Arial" w:hAnsi="Arial" w:cs="Arial"/>
          <w:sz w:val="22"/>
          <w:szCs w:val="22"/>
          <w:lang w:val="es-ES"/>
        </w:rPr>
        <w:t>Ente Crediticio cuenta con el derecho en cualquier momento de la vida del crédito, a suspender los desembolsos</w:t>
      </w:r>
      <w:r w:rsidR="0043599A" w:rsidRPr="005B57B7">
        <w:rPr>
          <w:rFonts w:ascii="Arial" w:hAnsi="Arial" w:cs="Arial"/>
          <w:sz w:val="22"/>
          <w:szCs w:val="22"/>
          <w:lang w:val="es-ES"/>
        </w:rPr>
        <w:t>,</w:t>
      </w:r>
      <w:r w:rsidRPr="005B57B7">
        <w:rPr>
          <w:rFonts w:ascii="Arial" w:hAnsi="Arial" w:cs="Arial"/>
          <w:sz w:val="22"/>
          <w:szCs w:val="22"/>
          <w:lang w:val="es-ES"/>
        </w:rPr>
        <w:t xml:space="preserve"> solicitar el vencimiento anticipado del sub–préstamo </w:t>
      </w:r>
      <w:r w:rsidRPr="005B57B7">
        <w:rPr>
          <w:rFonts w:ascii="Arial" w:hAnsi="Arial" w:cs="Arial"/>
          <w:sz w:val="22"/>
          <w:szCs w:val="22"/>
          <w:lang w:val="es-ES"/>
        </w:rPr>
        <w:lastRenderedPageBreak/>
        <w:t xml:space="preserve">dentro del </w:t>
      </w:r>
      <w:r w:rsidR="008A1A55" w:rsidRPr="005B57B7">
        <w:rPr>
          <w:rFonts w:ascii="Arial" w:hAnsi="Arial" w:cs="Arial"/>
          <w:sz w:val="22"/>
          <w:szCs w:val="22"/>
          <w:lang w:val="es-ES"/>
        </w:rPr>
        <w:t>p</w:t>
      </w:r>
      <w:r w:rsidRPr="005B57B7">
        <w:rPr>
          <w:rFonts w:ascii="Arial" w:hAnsi="Arial" w:cs="Arial"/>
          <w:sz w:val="22"/>
          <w:szCs w:val="22"/>
          <w:lang w:val="es-ES"/>
        </w:rPr>
        <w:t>rograma de financiación BID-</w:t>
      </w:r>
      <w:r w:rsidR="00C136B7" w:rsidRPr="005B57B7">
        <w:rPr>
          <w:rFonts w:ascii="Arial" w:hAnsi="Arial" w:cs="Arial"/>
          <w:sz w:val="22"/>
          <w:szCs w:val="22"/>
          <w:lang w:val="es-ES"/>
        </w:rPr>
        <w:t>BANCÓLDEX</w:t>
      </w:r>
      <w:r w:rsidR="0043599A" w:rsidRPr="005B57B7">
        <w:rPr>
          <w:rFonts w:ascii="Arial" w:hAnsi="Arial" w:cs="Arial"/>
          <w:sz w:val="22"/>
          <w:szCs w:val="22"/>
          <w:lang w:val="es-ES"/>
        </w:rPr>
        <w:t xml:space="preserve"> o ajustar las condiciones del préstamo a las condiciones nor</w:t>
      </w:r>
      <w:r w:rsidR="00F4544A" w:rsidRPr="005B57B7">
        <w:rPr>
          <w:rFonts w:ascii="Arial" w:hAnsi="Arial" w:cs="Arial"/>
          <w:sz w:val="22"/>
          <w:szCs w:val="22"/>
          <w:lang w:val="es-ES"/>
        </w:rPr>
        <w:t>ma</w:t>
      </w:r>
      <w:r w:rsidR="0043599A" w:rsidRPr="005B57B7">
        <w:rPr>
          <w:rFonts w:ascii="Arial" w:hAnsi="Arial" w:cs="Arial"/>
          <w:sz w:val="22"/>
          <w:szCs w:val="22"/>
          <w:lang w:val="es-ES"/>
        </w:rPr>
        <w:t>les de</w:t>
      </w:r>
      <w:r w:rsidR="00A86525" w:rsidRPr="005B57B7">
        <w:rPr>
          <w:rFonts w:ascii="Arial" w:hAnsi="Arial" w:cs="Arial"/>
          <w:sz w:val="22"/>
          <w:szCs w:val="22"/>
          <w:lang w:val="es-ES"/>
        </w:rPr>
        <w:t xml:space="preserve"> </w:t>
      </w:r>
      <w:r w:rsidR="00C136B7" w:rsidRPr="005B57B7">
        <w:rPr>
          <w:rFonts w:ascii="Arial" w:hAnsi="Arial" w:cs="Arial"/>
          <w:sz w:val="22"/>
          <w:szCs w:val="22"/>
          <w:lang w:val="es-ES"/>
        </w:rPr>
        <w:t>BANCÓLDEX</w:t>
      </w:r>
      <w:r w:rsidRPr="005B57B7">
        <w:rPr>
          <w:rFonts w:ascii="Arial" w:hAnsi="Arial" w:cs="Arial"/>
          <w:sz w:val="22"/>
          <w:szCs w:val="22"/>
          <w:lang w:val="es-ES"/>
        </w:rPr>
        <w:t>, si el sub–prestatario no cumple con sus obligaciones relacionadas con la utilización de los créditos, la limitación de destino de los recursos (</w:t>
      </w:r>
      <w:r w:rsidR="00E44481">
        <w:rPr>
          <w:rFonts w:ascii="Arial" w:hAnsi="Arial" w:cs="Arial"/>
          <w:sz w:val="22"/>
          <w:szCs w:val="22"/>
          <w:lang w:val="es-ES"/>
        </w:rPr>
        <w:t>Lista de Actividades Excluidas (Anexo 2) y Lista de Países miembros (Anexo 4)</w:t>
      </w:r>
      <w:r w:rsidRPr="005B57B7">
        <w:rPr>
          <w:rFonts w:ascii="Arial" w:hAnsi="Arial" w:cs="Arial"/>
          <w:sz w:val="22"/>
          <w:szCs w:val="22"/>
          <w:lang w:val="es-ES"/>
        </w:rPr>
        <w:t xml:space="preserve">), </w:t>
      </w:r>
      <w:r w:rsidR="00A14316" w:rsidRPr="005B57B7">
        <w:rPr>
          <w:rFonts w:ascii="Arial" w:hAnsi="Arial" w:cs="Arial"/>
          <w:sz w:val="22"/>
          <w:szCs w:val="22"/>
          <w:lang w:val="es-ES"/>
        </w:rPr>
        <w:t xml:space="preserve">el desempeño socio-ambiental, </w:t>
      </w:r>
      <w:r w:rsidRPr="005B57B7">
        <w:rPr>
          <w:rFonts w:ascii="Arial" w:hAnsi="Arial" w:cs="Arial"/>
          <w:sz w:val="22"/>
          <w:szCs w:val="22"/>
          <w:lang w:val="es-ES"/>
        </w:rPr>
        <w:t xml:space="preserve">el derecho de inspección y la obligación de entrega de información. En estos casos, se le asignaría al sub-prestatario el </w:t>
      </w:r>
      <w:r w:rsidR="00C77D87" w:rsidRPr="005B57B7">
        <w:rPr>
          <w:rFonts w:ascii="Arial" w:hAnsi="Arial" w:cs="Arial"/>
          <w:sz w:val="22"/>
          <w:szCs w:val="22"/>
          <w:lang w:val="es-ES"/>
        </w:rPr>
        <w:t>“</w:t>
      </w:r>
      <w:r w:rsidRPr="005B57B7">
        <w:rPr>
          <w:rFonts w:ascii="Arial" w:hAnsi="Arial" w:cs="Arial"/>
          <w:sz w:val="22"/>
          <w:szCs w:val="22"/>
          <w:lang w:val="es-ES"/>
        </w:rPr>
        <w:t>status</w:t>
      </w:r>
      <w:r w:rsidR="00C77D87" w:rsidRPr="005B57B7">
        <w:rPr>
          <w:rFonts w:ascii="Arial" w:hAnsi="Arial" w:cs="Arial"/>
          <w:sz w:val="22"/>
          <w:szCs w:val="22"/>
          <w:lang w:val="es-ES"/>
        </w:rPr>
        <w:t>”</w:t>
      </w:r>
      <w:r w:rsidRPr="005B57B7">
        <w:rPr>
          <w:rFonts w:ascii="Arial" w:hAnsi="Arial" w:cs="Arial"/>
          <w:sz w:val="22"/>
          <w:szCs w:val="22"/>
          <w:lang w:val="es-ES"/>
        </w:rPr>
        <w:t xml:space="preserve"> de no elegibilidad para futuras operaciones</w:t>
      </w:r>
      <w:r w:rsidR="00124EFA" w:rsidRPr="005B57B7">
        <w:rPr>
          <w:rFonts w:ascii="Arial" w:hAnsi="Arial" w:cs="Arial"/>
          <w:sz w:val="22"/>
          <w:szCs w:val="22"/>
          <w:lang w:val="es-ES"/>
        </w:rPr>
        <w:t xml:space="preserve"> en el marco de este Programa</w:t>
      </w:r>
      <w:r w:rsidRPr="005B57B7">
        <w:rPr>
          <w:rFonts w:ascii="Arial" w:hAnsi="Arial" w:cs="Arial"/>
          <w:sz w:val="22"/>
          <w:szCs w:val="22"/>
          <w:lang w:val="es-ES"/>
        </w:rPr>
        <w:t>.</w:t>
      </w:r>
    </w:p>
    <w:p w:rsidR="004B0E2A" w:rsidRPr="005B57B7" w:rsidRDefault="004B0E2A" w:rsidP="004B0E2A">
      <w:pPr>
        <w:jc w:val="both"/>
        <w:rPr>
          <w:rFonts w:ascii="Arial" w:hAnsi="Arial" w:cs="Arial"/>
          <w:sz w:val="22"/>
          <w:szCs w:val="22"/>
          <w:lang w:val="es-ES"/>
        </w:rPr>
      </w:pPr>
    </w:p>
    <w:p w:rsidR="007E04A2" w:rsidRPr="005B57B7" w:rsidRDefault="0050047E" w:rsidP="004B0E2A">
      <w:pPr>
        <w:jc w:val="both"/>
        <w:rPr>
          <w:rFonts w:ascii="Arial" w:hAnsi="Arial" w:cs="Arial"/>
          <w:sz w:val="22"/>
          <w:szCs w:val="22"/>
          <w:lang w:val="es-ES"/>
        </w:rPr>
      </w:pPr>
      <w:r w:rsidRPr="005B57B7">
        <w:rPr>
          <w:rFonts w:ascii="Arial" w:hAnsi="Arial" w:cs="Arial"/>
          <w:sz w:val="22"/>
          <w:szCs w:val="22"/>
          <w:lang w:val="es-ES"/>
        </w:rPr>
        <w:t xml:space="preserve">El Ente Crediticio también podría suspender los desembolsos y/o solicitar el vencimiento anticipado del sub–préstamo cuando, a juicio de éste, las garantías a su favor no sean suficientes, y el </w:t>
      </w:r>
      <w:r w:rsidR="00175A8B" w:rsidRPr="005B57B7">
        <w:rPr>
          <w:rFonts w:ascii="Arial" w:hAnsi="Arial" w:cs="Arial"/>
          <w:sz w:val="22"/>
          <w:szCs w:val="22"/>
          <w:lang w:val="es-ES"/>
        </w:rPr>
        <w:t xml:space="preserve">riesgo de </w:t>
      </w:r>
      <w:r w:rsidRPr="005B57B7">
        <w:rPr>
          <w:rFonts w:ascii="Arial" w:hAnsi="Arial" w:cs="Arial"/>
          <w:sz w:val="22"/>
          <w:szCs w:val="22"/>
          <w:lang w:val="es-ES"/>
        </w:rPr>
        <w:t>incumplimiento de las condiciones estipuladas para la cesión de los sub–préstamos</w:t>
      </w:r>
      <w:r w:rsidR="00175A8B" w:rsidRPr="005B57B7">
        <w:rPr>
          <w:rFonts w:ascii="Arial" w:hAnsi="Arial" w:cs="Arial"/>
          <w:sz w:val="22"/>
          <w:szCs w:val="22"/>
          <w:lang w:val="es-ES"/>
        </w:rPr>
        <w:t xml:space="preserve"> sea inminente</w:t>
      </w:r>
      <w:r w:rsidRPr="005B57B7">
        <w:rPr>
          <w:rFonts w:ascii="Arial" w:hAnsi="Arial" w:cs="Arial"/>
          <w:sz w:val="22"/>
          <w:szCs w:val="22"/>
          <w:lang w:val="es-ES"/>
        </w:rPr>
        <w:t xml:space="preserve">. </w:t>
      </w:r>
    </w:p>
    <w:p w:rsidR="00EA4F8F" w:rsidRPr="005B57B7" w:rsidRDefault="00EA4F8F" w:rsidP="005C0337">
      <w:pPr>
        <w:pStyle w:val="Heading3"/>
        <w:rPr>
          <w:sz w:val="24"/>
          <w:szCs w:val="32"/>
          <w:lang w:val="es-ES"/>
        </w:rPr>
      </w:pPr>
      <w:bookmarkStart w:id="78" w:name="_Toc428252177"/>
      <w:bookmarkStart w:id="79" w:name="_Toc431307133"/>
      <w:bookmarkStart w:id="80" w:name="_Toc217379125"/>
      <w:r w:rsidRPr="005B57B7">
        <w:rPr>
          <w:sz w:val="24"/>
          <w:szCs w:val="32"/>
          <w:lang w:val="es-ES"/>
        </w:rPr>
        <w:t>Garantías</w:t>
      </w:r>
      <w:bookmarkEnd w:id="78"/>
      <w:bookmarkEnd w:id="79"/>
    </w:p>
    <w:p w:rsidR="00EA4F8F" w:rsidRPr="005B57B7" w:rsidRDefault="00EA4F8F" w:rsidP="004B0E2A">
      <w:pPr>
        <w:jc w:val="both"/>
        <w:rPr>
          <w:rFonts w:ascii="Arial" w:hAnsi="Arial"/>
          <w:sz w:val="22"/>
          <w:szCs w:val="22"/>
          <w:lang w:val="es-ES"/>
        </w:rPr>
      </w:pPr>
      <w:r w:rsidRPr="005B57B7">
        <w:rPr>
          <w:rFonts w:ascii="Arial" w:hAnsi="Arial"/>
          <w:sz w:val="22"/>
          <w:szCs w:val="22"/>
          <w:lang w:val="es-ES"/>
        </w:rPr>
        <w:t>La constitución por parte del sub-prestatario de garantías suficientes, en favor del Ente Crediticio a juicio de éste.</w:t>
      </w:r>
    </w:p>
    <w:p w:rsidR="0050047E" w:rsidRPr="005B57B7" w:rsidRDefault="00EA4F8F" w:rsidP="005C0337">
      <w:pPr>
        <w:pStyle w:val="Heading3"/>
        <w:rPr>
          <w:sz w:val="24"/>
          <w:szCs w:val="32"/>
          <w:lang w:val="es-ES"/>
        </w:rPr>
      </w:pPr>
      <w:bookmarkStart w:id="81" w:name="_Toc428252178"/>
      <w:bookmarkStart w:id="82" w:name="_Toc431307134"/>
      <w:r w:rsidRPr="005B57B7">
        <w:rPr>
          <w:sz w:val="24"/>
          <w:szCs w:val="32"/>
          <w:lang w:val="es-ES"/>
        </w:rPr>
        <w:t>Cesión de los sub-préstamos</w:t>
      </w:r>
      <w:bookmarkEnd w:id="81"/>
      <w:bookmarkEnd w:id="82"/>
      <w:r w:rsidRPr="005B57B7">
        <w:rPr>
          <w:sz w:val="24"/>
          <w:szCs w:val="32"/>
          <w:lang w:val="es-ES"/>
        </w:rPr>
        <w:t xml:space="preserve"> </w:t>
      </w:r>
      <w:bookmarkEnd w:id="80"/>
    </w:p>
    <w:p w:rsidR="000328BA" w:rsidRPr="005B57B7" w:rsidRDefault="000328BA" w:rsidP="000328BA">
      <w:pPr>
        <w:jc w:val="both"/>
        <w:rPr>
          <w:rFonts w:ascii="Arial" w:hAnsi="Arial" w:cs="Arial"/>
          <w:sz w:val="22"/>
          <w:szCs w:val="22"/>
          <w:lang w:val="es-ES"/>
        </w:rPr>
      </w:pPr>
      <w:bookmarkStart w:id="83" w:name="_Toc428252179"/>
      <w:r w:rsidRPr="005B57B7">
        <w:rPr>
          <w:rFonts w:ascii="Arial" w:hAnsi="Arial" w:cs="Arial"/>
          <w:sz w:val="22"/>
          <w:szCs w:val="22"/>
          <w:lang w:val="es-ES"/>
        </w:rPr>
        <w:t xml:space="preserve">En relación con los sub-préstamos que otorgue con los recursos del Préstamo, cada Ente Crediticio elegible se compromete a: (a) mantenerlos en su cartera libre de todo gravamen;  y (b) solicitar y obtener la aceptación previa del Ejecutor en los casos en que se proponga venderlos, cederlos o traspasarlos a terceras personas. De igual manera, es obligación de los Entes Crediticios reportar a BANCÓLDEX en caso que se hagan sustituciones o remplazos de sub-préstamos con los recursos del Programa. </w:t>
      </w:r>
    </w:p>
    <w:p w:rsidR="00F62578" w:rsidRPr="005B57B7" w:rsidRDefault="00F62578" w:rsidP="00E7250B">
      <w:pPr>
        <w:pStyle w:val="Heading1"/>
        <w:rPr>
          <w:sz w:val="28"/>
          <w:lang w:val="es-ES"/>
        </w:rPr>
      </w:pPr>
      <w:bookmarkStart w:id="84" w:name="_Toc428252180"/>
      <w:bookmarkStart w:id="85" w:name="_Toc431307135"/>
      <w:bookmarkEnd w:id="83"/>
      <w:r w:rsidRPr="005B57B7">
        <w:rPr>
          <w:sz w:val="28"/>
          <w:lang w:val="es-ES"/>
        </w:rPr>
        <w:t>Modificación de disposiciones legales y de este Reglamento de Crédito.</w:t>
      </w:r>
      <w:bookmarkEnd w:id="84"/>
      <w:bookmarkEnd w:id="85"/>
    </w:p>
    <w:p w:rsidR="0050047E" w:rsidRPr="005B57B7" w:rsidRDefault="0050047E" w:rsidP="004B0E2A">
      <w:pPr>
        <w:jc w:val="both"/>
        <w:rPr>
          <w:rFonts w:ascii="Arial" w:hAnsi="Arial"/>
          <w:sz w:val="22"/>
          <w:szCs w:val="22"/>
          <w:lang w:val="es-ES"/>
        </w:rPr>
      </w:pPr>
      <w:r w:rsidRPr="005B57B7">
        <w:rPr>
          <w:rFonts w:ascii="Arial" w:hAnsi="Arial"/>
          <w:sz w:val="22"/>
          <w:szCs w:val="22"/>
          <w:lang w:val="es-ES"/>
        </w:rPr>
        <w:t>Cualquier cambio material en el Reglamento de Crédito que se aplique al Programa deberá contar con el consentimiento por escrito del BID.</w:t>
      </w:r>
    </w:p>
    <w:p w:rsidR="00C77D87" w:rsidRPr="005B57B7" w:rsidRDefault="00C77D87">
      <w:pPr>
        <w:spacing w:before="120"/>
        <w:jc w:val="both"/>
        <w:rPr>
          <w:rFonts w:ascii="Arial" w:hAnsi="Arial" w:cs="Arial"/>
          <w:lang w:val="es-ES"/>
        </w:rPr>
      </w:pPr>
    </w:p>
    <w:p w:rsidR="00202D80" w:rsidRPr="005B57B7" w:rsidRDefault="00202D80">
      <w:pPr>
        <w:spacing w:before="120"/>
        <w:jc w:val="both"/>
        <w:rPr>
          <w:rFonts w:ascii="Arial" w:hAnsi="Arial" w:cs="Arial"/>
          <w:lang w:val="es-ES"/>
        </w:rPr>
        <w:sectPr w:rsidR="00202D80" w:rsidRPr="005B57B7" w:rsidSect="00344ADF">
          <w:headerReference w:type="default" r:id="rId12"/>
          <w:footerReference w:type="default" r:id="rId13"/>
          <w:pgSz w:w="11906" w:h="16838"/>
          <w:pgMar w:top="1417" w:right="1646" w:bottom="1260" w:left="1701" w:header="708" w:footer="708" w:gutter="0"/>
          <w:pgNumType w:start="1"/>
          <w:cols w:space="708"/>
          <w:docGrid w:linePitch="360"/>
        </w:sectPr>
      </w:pPr>
    </w:p>
    <w:p w:rsidR="00C77D87" w:rsidRPr="005B57B7" w:rsidRDefault="00C77D87">
      <w:pPr>
        <w:spacing w:before="120"/>
        <w:jc w:val="both"/>
        <w:rPr>
          <w:rFonts w:ascii="Arial" w:hAnsi="Arial" w:cs="Arial"/>
          <w:lang w:val="es-ES"/>
        </w:rPr>
      </w:pPr>
    </w:p>
    <w:p w:rsidR="007A7948" w:rsidRDefault="007A7948" w:rsidP="00F736FC">
      <w:pPr>
        <w:pStyle w:val="Heading3"/>
        <w:numPr>
          <w:ilvl w:val="0"/>
          <w:numId w:val="0"/>
        </w:numPr>
        <w:spacing w:before="0"/>
        <w:ind w:left="2160" w:hanging="2160"/>
        <w:jc w:val="center"/>
        <w:rPr>
          <w:sz w:val="32"/>
          <w:szCs w:val="32"/>
          <w:lang w:val="es-ES"/>
        </w:rPr>
      </w:pPr>
      <w:bookmarkStart w:id="86" w:name="_Toc431307136"/>
      <w:bookmarkStart w:id="87" w:name="_Toc428252181"/>
      <w:r w:rsidRPr="005B57B7">
        <w:rPr>
          <w:sz w:val="32"/>
          <w:szCs w:val="32"/>
          <w:lang w:val="es-ES"/>
        </w:rPr>
        <w:t>ANEXO 1 – Estrategia de gestión ambiental y social</w:t>
      </w:r>
      <w:bookmarkEnd w:id="86"/>
      <w:r w:rsidRPr="005B57B7">
        <w:rPr>
          <w:sz w:val="32"/>
          <w:szCs w:val="32"/>
          <w:lang w:val="es-ES"/>
        </w:rPr>
        <w:t xml:space="preserve"> </w:t>
      </w:r>
    </w:p>
    <w:p w:rsidR="00CB63CD" w:rsidRPr="00CB63CD" w:rsidRDefault="00CB63CD" w:rsidP="00CB63CD">
      <w:pPr>
        <w:rPr>
          <w:lang w:val="es-ES"/>
        </w:rPr>
      </w:pPr>
    </w:p>
    <w:p w:rsidR="003E0A91" w:rsidRPr="00CB63CD" w:rsidRDefault="003E0A91" w:rsidP="00CB63CD">
      <w:pPr>
        <w:rPr>
          <w:rFonts w:ascii="Arial" w:hAnsi="Arial" w:cs="Arial"/>
          <w:b/>
          <w:sz w:val="22"/>
          <w:szCs w:val="22"/>
          <w:lang w:val="es-ES_tradnl"/>
        </w:rPr>
      </w:pPr>
      <w:bookmarkStart w:id="88" w:name="_Toc430353131"/>
      <w:r w:rsidRPr="00CB63CD">
        <w:rPr>
          <w:rFonts w:ascii="Arial" w:hAnsi="Arial" w:cs="Arial"/>
          <w:b/>
          <w:sz w:val="22"/>
          <w:szCs w:val="22"/>
          <w:lang w:val="es-ES_tradnl"/>
        </w:rPr>
        <w:t>Estado de cumplimiento y normas del proyecto</w:t>
      </w:r>
      <w:bookmarkEnd w:id="88"/>
    </w:p>
    <w:p w:rsidR="003E0A91" w:rsidRPr="00AF69E0" w:rsidRDefault="003E0A91" w:rsidP="00CB63CD">
      <w:pPr>
        <w:spacing w:before="120" w:after="120"/>
        <w:jc w:val="both"/>
        <w:rPr>
          <w:rFonts w:ascii="Arial" w:hAnsi="Arial" w:cs="Arial"/>
          <w:sz w:val="22"/>
          <w:szCs w:val="22"/>
          <w:lang w:val="es-ES_tradnl"/>
        </w:rPr>
      </w:pPr>
      <w:bookmarkStart w:id="89" w:name="_Toc430353132"/>
      <w:r w:rsidRPr="00AF69E0">
        <w:rPr>
          <w:rFonts w:ascii="Arial" w:hAnsi="Arial" w:cs="Arial"/>
          <w:sz w:val="22"/>
          <w:szCs w:val="22"/>
          <w:lang w:val="es-ES_tradnl"/>
        </w:rPr>
        <w:t>En base a la Directiva B.13 de la Política de Cumplimiento de Salvaguardias Ambientales (OP-703), el proyecto se clasifica como intermediario financiero y, como tal, no se categoriza de acuerdo a sus posibles impactos y riesgos ambientales y sociales (A&amp;S).</w:t>
      </w:r>
      <w:bookmarkEnd w:id="89"/>
      <w:r w:rsidRPr="00AF69E0">
        <w:rPr>
          <w:rFonts w:ascii="Arial" w:hAnsi="Arial" w:cs="Arial"/>
          <w:sz w:val="22"/>
          <w:szCs w:val="22"/>
          <w:lang w:val="es-ES_tradnl"/>
        </w:rPr>
        <w:t xml:space="preserve"> </w:t>
      </w:r>
    </w:p>
    <w:p w:rsidR="003E0A91" w:rsidRPr="00AF69E0" w:rsidRDefault="003E0A91" w:rsidP="00CB63CD">
      <w:pPr>
        <w:spacing w:before="120" w:after="120"/>
        <w:jc w:val="both"/>
        <w:rPr>
          <w:rFonts w:ascii="Arial" w:hAnsi="Arial" w:cs="Arial"/>
          <w:sz w:val="22"/>
          <w:szCs w:val="22"/>
          <w:lang w:val="es-ES_tradnl"/>
        </w:rPr>
      </w:pPr>
      <w:bookmarkStart w:id="90" w:name="_Toc430353133"/>
      <w:r w:rsidRPr="00AF69E0">
        <w:rPr>
          <w:rFonts w:ascii="Arial" w:hAnsi="Arial" w:cs="Arial"/>
          <w:sz w:val="22"/>
          <w:szCs w:val="22"/>
          <w:lang w:val="es-ES_tradnl"/>
        </w:rPr>
        <w:t>El objetivo del programa es respaldar la financiación de proyectos de energía renovable a pequeña escala. Las tecnologías previstas serán principalmente solar, hidráulica a pequeña escala y de biomasa a partir de residuos agrícolas. Todos los sub-proyectos estarán por debajo de 10MW. Se espera que el programa cubra un máximo de 10 beneficiarios y que el tamaño de los proyectos esté en el rango de 1 a 5 MW. Estos proyectos se consideran de riesgo bajo a medio y, es probable, que se clasifiquen como Categoría B. Con base en la información presentada, este programa se clasifica como de riesgo medio (FI-2).</w:t>
      </w:r>
      <w:bookmarkEnd w:id="90"/>
      <w:r w:rsidRPr="00AF69E0">
        <w:rPr>
          <w:rFonts w:ascii="Arial" w:hAnsi="Arial" w:cs="Arial"/>
          <w:sz w:val="22"/>
          <w:szCs w:val="22"/>
          <w:lang w:val="es-ES_tradnl"/>
        </w:rPr>
        <w:t xml:space="preserve"> </w:t>
      </w:r>
    </w:p>
    <w:p w:rsidR="003E0A91" w:rsidRPr="00CB63CD" w:rsidRDefault="003E0A91" w:rsidP="00CB63CD">
      <w:pPr>
        <w:spacing w:before="120" w:after="120"/>
        <w:rPr>
          <w:rFonts w:ascii="Arial" w:hAnsi="Arial" w:cs="Arial"/>
          <w:b/>
          <w:sz w:val="22"/>
          <w:szCs w:val="22"/>
          <w:lang w:val="es-ES_tradnl"/>
        </w:rPr>
      </w:pPr>
      <w:bookmarkStart w:id="91" w:name="_Toc430353134"/>
      <w:r w:rsidRPr="00CB63CD">
        <w:rPr>
          <w:rFonts w:ascii="Arial" w:hAnsi="Arial" w:cs="Arial"/>
          <w:b/>
          <w:sz w:val="22"/>
          <w:szCs w:val="22"/>
          <w:lang w:val="es-ES_tradnl"/>
        </w:rPr>
        <w:t>Principales impactos ambientales y sociales, riesgos y mitigación</w:t>
      </w:r>
      <w:bookmarkEnd w:id="91"/>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Dado el tamaño de los proyectos (menos de 10 MW en todos los casos y de 1 a 5 MW previstos en promedio, concentrados en energía solar y biomasa a partir de residuos agrícolas, y centrados en comunidades de 200 familias en promedio) se prevé que estos impactos potenciales sean de mínimos a moderados. Los posibles riesgos principales identificados para este programa se relacionan principalmente con el cambio de uso del suelo en el área identificada como la ubicación del emplazamiento para la planta en particular. Esos riesgos y cualquier otro riesgo potencial se (i) evitarán mediante la aplicación de una lista de exclusión o (ii) se identificarán y mitigarán a través de la aplicación del sistema de gestión ambiental y social (SGAS) de </w:t>
      </w:r>
      <w:r w:rsidR="002C7B6E">
        <w:rPr>
          <w:rFonts w:ascii="Arial" w:eastAsia="Cambria" w:hAnsi="Arial" w:cs="Arial"/>
          <w:color w:val="000000"/>
          <w:sz w:val="22"/>
          <w:szCs w:val="22"/>
          <w:lang w:val="es-ES_tradnl"/>
        </w:rPr>
        <w:t>BANCÓLDEX</w:t>
      </w:r>
      <w:r w:rsidRPr="00CB63CD">
        <w:rPr>
          <w:rFonts w:ascii="Arial" w:eastAsia="Cambria" w:hAnsi="Arial" w:cs="Arial"/>
          <w:color w:val="000000"/>
          <w:sz w:val="22"/>
          <w:szCs w:val="22"/>
          <w:lang w:val="es-ES_tradnl"/>
        </w:rPr>
        <w:t xml:space="preserve"> y la emisión de los permisos pertinentes (véase más adelante).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Los proyectos de generación de electricidad en Colo</w:t>
      </w:r>
      <w:r w:rsidR="002C7B6E">
        <w:rPr>
          <w:rFonts w:ascii="Arial" w:eastAsia="Cambria" w:hAnsi="Arial" w:cs="Arial"/>
          <w:color w:val="000000"/>
          <w:sz w:val="22"/>
          <w:szCs w:val="22"/>
          <w:lang w:val="es-ES_tradnl"/>
        </w:rPr>
        <w:t>mbia que están por debajo de 10 </w:t>
      </w:r>
      <w:r w:rsidRPr="00CB63CD">
        <w:rPr>
          <w:rFonts w:ascii="Arial" w:eastAsia="Cambria" w:hAnsi="Arial" w:cs="Arial"/>
          <w:color w:val="000000"/>
          <w:sz w:val="22"/>
          <w:szCs w:val="22"/>
          <w:lang w:val="es-ES_tradnl"/>
        </w:rPr>
        <w:t>MW no necesitan una licencia federal. Las autoridades municipales exigen que los proyectos obtengan los permisos necesarios en función de las circunstancias particulares (captura de agua, desecho de residuos, impacto en las comunidades, emisiones a la atmósfera, cambio de uso del suelo) - Véase el anexo 3. Los proyectos también tienen que cumplir con la directiva de consulta pública cuando corresponda</w:t>
      </w:r>
      <w:r w:rsidRPr="00CB63CD">
        <w:rPr>
          <w:rStyle w:val="FootnoteReference"/>
          <w:rFonts w:ascii="Arial" w:eastAsia="Cambria" w:hAnsi="Arial"/>
          <w:sz w:val="22"/>
          <w:szCs w:val="22"/>
          <w:lang w:val="es-ES_tradnl"/>
        </w:rPr>
        <w:footnoteReference w:id="7"/>
      </w:r>
      <w:r w:rsidRPr="00CB63CD">
        <w:rPr>
          <w:rFonts w:ascii="Arial" w:eastAsia="Cambria" w:hAnsi="Arial" w:cs="Arial"/>
          <w:color w:val="000000"/>
          <w:sz w:val="22"/>
          <w:szCs w:val="22"/>
          <w:lang w:val="es-ES_tradnl"/>
        </w:rPr>
        <w:t xml:space="preserve">.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Sin embargo, en ausencia de un proceso federal de concesión de licencias, las reglas de gestión de riesgos A&amp;S aplicables a este programa demandarán un examen exhaustivo de los riesgos potenciales y el diseño e implementación de un plan de mitigación para cada proyecto.</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Las problemáticas potenciales claves en el ámbito ambiental, social, de salud y seguridad, y de trabajo, y los riesgos asociados con este programa son los relacionados con proyectos de energía renovable. Los proyectos de energías renovables ofrecen reducciones de emisiones de GEI a largo plazo y se consideran proyectos ecológicos, ya que implican la producción de energía más limpia. Sin embargo, algunos proyectos por debajo de esta línea, que probablemente tengan un promedio de 2,5 MW de tamaño, pueden acarrear impactos ambientales o sociales </w:t>
      </w:r>
      <w:r w:rsidRPr="00CB63CD">
        <w:rPr>
          <w:rFonts w:ascii="Arial" w:eastAsia="Cambria" w:hAnsi="Arial" w:cs="Arial"/>
          <w:color w:val="000000"/>
          <w:sz w:val="22"/>
          <w:szCs w:val="22"/>
          <w:lang w:val="es-ES_tradnl"/>
        </w:rPr>
        <w:lastRenderedPageBreak/>
        <w:t xml:space="preserve">adversos que pueden ser moderados en naturaleza y que deben evaluarse y gestionarse en cada proyecto en particular.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Las problemáticas ambientales y sociales que pueden ocurrir potencialmente en el contexto de estos proyectos son las siguientes: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Los impactos ambientales causados por obras de infraestructura asociadas de construcción a pequeña escala (carreteras, líneas eléctricas, erosión del suelo, alteración del hábitat, el aumento de tránsito pesado, etc.).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 xml:space="preserve">El cambio del uso del suelo causado por la ubicación del proyecto, ya sea en sitios degradados existentes o potenciales áreas nuevas no desarrolladas posiblemente cerca de hábitats naturales sensibles (se excluirán las áreas de Alto Valor de Conservación identificadas conforme al Anexo 2). </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Problemáticas de salud y seguridad ocupacional para la mano de obra. Impactos sociales e inquietudes de seguridad pertinentes para las comunidades residenciales vecinas</w:t>
      </w:r>
    </w:p>
    <w:p w:rsidR="003E0A91" w:rsidRPr="00CB63CD" w:rsidRDefault="003E0A91" w:rsidP="00CB63CD">
      <w:pPr>
        <w:spacing w:before="120" w:after="120"/>
        <w:jc w:val="both"/>
        <w:rPr>
          <w:rFonts w:ascii="Arial" w:eastAsia="Cambria" w:hAnsi="Arial" w:cs="Arial"/>
          <w:color w:val="000000"/>
          <w:sz w:val="22"/>
          <w:szCs w:val="22"/>
          <w:lang w:val="es-ES_tradnl"/>
        </w:rPr>
      </w:pPr>
      <w:r w:rsidRPr="00CB63CD">
        <w:rPr>
          <w:rFonts w:ascii="Arial" w:eastAsia="Cambria" w:hAnsi="Arial" w:cs="Arial"/>
          <w:color w:val="000000"/>
          <w:sz w:val="22"/>
          <w:szCs w:val="22"/>
          <w:lang w:val="es-ES_tradnl"/>
        </w:rPr>
        <w:t>“Fuga” de emisiones de GEI si – en el caso de que el proyecto involucre la sustitución de equipos para mayor eficiencia energética (proyectos híbridos solares) – el equipo antiguo no se desecha adecuadamente y se retira de la circulación.</w:t>
      </w:r>
    </w:p>
    <w:p w:rsidR="003E0A91" w:rsidRPr="00CB63CD" w:rsidRDefault="003E0A91" w:rsidP="00CB63CD">
      <w:pPr>
        <w:spacing w:before="120" w:after="120"/>
        <w:rPr>
          <w:rFonts w:ascii="Arial" w:hAnsi="Arial" w:cs="Arial"/>
          <w:b/>
          <w:sz w:val="22"/>
          <w:szCs w:val="22"/>
          <w:lang w:val="es-ES_tradnl"/>
        </w:rPr>
      </w:pPr>
      <w:bookmarkStart w:id="92" w:name="_Toc430353135"/>
      <w:r w:rsidRPr="00CB63CD">
        <w:rPr>
          <w:rFonts w:ascii="Arial" w:hAnsi="Arial" w:cs="Arial"/>
          <w:b/>
          <w:sz w:val="22"/>
          <w:szCs w:val="22"/>
          <w:lang w:val="es-ES_tradnl"/>
        </w:rPr>
        <w:t>Gestión y monitoreo de impactos ambientales y sociales</w:t>
      </w:r>
      <w:bookmarkEnd w:id="92"/>
    </w:p>
    <w:p w:rsidR="003E0A91" w:rsidRPr="00AF69E0" w:rsidRDefault="002C7B6E" w:rsidP="00CB63CD">
      <w:pPr>
        <w:spacing w:before="120" w:after="120"/>
        <w:jc w:val="both"/>
        <w:rPr>
          <w:rFonts w:ascii="Arial" w:hAnsi="Arial" w:cs="Arial"/>
          <w:sz w:val="22"/>
          <w:szCs w:val="22"/>
          <w:lang w:val="es-ES_tradnl"/>
        </w:rPr>
      </w:pPr>
      <w:bookmarkStart w:id="93" w:name="_Toc430353136"/>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ha desarrollado su capacidad institucional en la gestión de riesgos ambientales y sociales, y ha implementado un sistema de gestión ambiental y social en todas sus carteras.  </w:t>
      </w:r>
      <w:r w:rsidR="003E0A91" w:rsidRPr="00AF69E0">
        <w:rPr>
          <w:rFonts w:ascii="Arial" w:hAnsi="Arial" w:cs="Arial"/>
          <w:sz w:val="22"/>
          <w:szCs w:val="22"/>
          <w:lang w:val="es-ES_tradnl"/>
        </w:rPr>
        <w:t xml:space="preserve">El sistema se elaboró con la asistencia técnica del BID (CO-T1198) y se diseñó para operaciones previas dirigidas a las PYME, la eficiencia energética y arrendamiento.  Se aplica solamente para sub-préstamos iguales o superiores a USD 5 millones. </w:t>
      </w:r>
      <w:r w:rsidR="003E0A91" w:rsidRPr="002C7B6E">
        <w:rPr>
          <w:rFonts w:ascii="Arial" w:hAnsi="Arial" w:cs="Arial"/>
          <w:sz w:val="22"/>
          <w:szCs w:val="22"/>
          <w:lang w:val="es-ES_tradnl"/>
        </w:rPr>
        <w:t xml:space="preserve">Único entre los bancos de la región es que </w:t>
      </w:r>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como un banco de segundo nivel, ha desarrollado herramientas y formularios de análisis e identificación de riesgos potenciales para ayudar a sus bancos de primer nivel para la realización de análisis ambientales y sociales (A&amp;S) en sus programas de préstamos.  </w:t>
      </w:r>
      <w:r w:rsidR="003E0A91" w:rsidRPr="00AF69E0">
        <w:rPr>
          <w:rFonts w:ascii="Arial" w:hAnsi="Arial" w:cs="Arial"/>
          <w:sz w:val="22"/>
          <w:szCs w:val="22"/>
          <w:lang w:val="es-ES_tradnl"/>
        </w:rPr>
        <w:t>Lleva a cabo programas de préstamos a través de cinco bancos de primer nivel.</w:t>
      </w:r>
      <w:bookmarkEnd w:id="93"/>
    </w:p>
    <w:p w:rsidR="003E0A91" w:rsidRPr="002C7B6E" w:rsidRDefault="003E0A91" w:rsidP="00CB63CD">
      <w:pPr>
        <w:spacing w:before="120" w:after="120"/>
        <w:jc w:val="both"/>
        <w:rPr>
          <w:rFonts w:ascii="Arial" w:hAnsi="Arial" w:cs="Arial"/>
          <w:bCs/>
          <w:sz w:val="22"/>
          <w:szCs w:val="22"/>
          <w:lang w:val="es-ES_tradnl"/>
        </w:rPr>
      </w:pPr>
      <w:bookmarkStart w:id="94" w:name="_Toc430353137"/>
      <w:r w:rsidRPr="002C7B6E">
        <w:rPr>
          <w:rFonts w:ascii="Arial" w:hAnsi="Arial" w:cs="Arial"/>
          <w:bCs/>
          <w:sz w:val="22"/>
          <w:szCs w:val="22"/>
          <w:lang w:val="es-ES_tradnl"/>
        </w:rPr>
        <w:t xml:space="preserve">A través de la integración del análisis A&amp;S en su proceso de evaluación de préstamos,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evalúa proyectos individuales caso por caso, siempre que el sub-préstamo sea superior a USD 5 millones.  </w:t>
      </w:r>
      <w:r w:rsidRPr="00AF69E0">
        <w:rPr>
          <w:rFonts w:ascii="Arial" w:hAnsi="Arial" w:cs="Arial"/>
          <w:bCs/>
          <w:sz w:val="22"/>
          <w:szCs w:val="22"/>
          <w:lang w:val="es-ES_tradnl"/>
        </w:rPr>
        <w:t xml:space="preserve">En estas operaciones se basa en la evaluación realizada por el banco de primer nivel, además de la información proporcionada por el prestatario final.  </w:t>
      </w:r>
      <w:r w:rsidRPr="002C7B6E">
        <w:rPr>
          <w:rFonts w:ascii="Arial" w:hAnsi="Arial" w:cs="Arial"/>
          <w:bCs/>
          <w:sz w:val="22"/>
          <w:szCs w:val="22"/>
          <w:lang w:val="es-ES_tradnl"/>
        </w:rPr>
        <w:t xml:space="preserve">Se identifican las brechas en relación con la legislación local y, en particular, aquellas asociadas con permisos u otorgamiento de licencias,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incorporará un plan de acción y acordará plazos con los bancos comerciales para presentar la documentación necesaria.  </w:t>
      </w:r>
      <w:r w:rsidRPr="00AF69E0">
        <w:rPr>
          <w:rFonts w:ascii="Arial" w:hAnsi="Arial" w:cs="Arial"/>
          <w:bCs/>
          <w:sz w:val="22"/>
          <w:szCs w:val="22"/>
          <w:lang w:val="es-ES_tradnl"/>
        </w:rPr>
        <w:t xml:space="preserve">El desglose actual de su cartera de sub-préstamos por encima de USD 5 millones se conforma de la siguiente manera: Categoría A (26 %), categoría B (19,7 %) y categoría C (54,3 %).  La categorización se determina conforme a la significancia de los problemas identificados.  </w:t>
      </w:r>
      <w:r w:rsidRPr="002C7B6E">
        <w:rPr>
          <w:rFonts w:ascii="Arial" w:hAnsi="Arial" w:cs="Arial"/>
          <w:bCs/>
          <w:sz w:val="22"/>
          <w:szCs w:val="22"/>
          <w:lang w:val="es-ES_tradnl"/>
        </w:rPr>
        <w:t xml:space="preserve">En el caso de sub-préstamos inferiores a USD 5 millones,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hace una evaluación más limitada y lo categoriza en función de los sectores financiados.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no realiza debida diligencia con visita de campo, sino que se basa en sus bancos de primer nivel.  En esta operación, </w:t>
      </w:r>
      <w:r w:rsidR="002C7B6E" w:rsidRPr="002C7B6E">
        <w:rPr>
          <w:rFonts w:ascii="Arial" w:hAnsi="Arial" w:cs="Arial"/>
          <w:bCs/>
          <w:sz w:val="22"/>
          <w:szCs w:val="22"/>
          <w:lang w:val="es-ES_tradnl"/>
        </w:rPr>
        <w:t>BANCÓLDEX</w:t>
      </w:r>
      <w:r w:rsidRPr="002C7B6E">
        <w:rPr>
          <w:rFonts w:ascii="Arial" w:hAnsi="Arial" w:cs="Arial"/>
          <w:bCs/>
          <w:sz w:val="22"/>
          <w:szCs w:val="22"/>
          <w:lang w:val="es-ES_tradnl"/>
        </w:rPr>
        <w:t xml:space="preserve"> extenderá la aplicación de su sistema de gestión ambiental y social a todos los sub-préstamos, independientemente del límite actual de USD 5 millones.</w:t>
      </w:r>
      <w:bookmarkEnd w:id="94"/>
    </w:p>
    <w:p w:rsidR="003E0A91" w:rsidRPr="002C7B6E" w:rsidRDefault="002C7B6E" w:rsidP="00CB63CD">
      <w:pPr>
        <w:spacing w:before="120" w:after="120"/>
        <w:jc w:val="both"/>
        <w:rPr>
          <w:rFonts w:ascii="Arial" w:hAnsi="Arial" w:cs="Arial"/>
          <w:sz w:val="22"/>
          <w:szCs w:val="22"/>
          <w:lang w:val="es-ES_tradnl"/>
        </w:rPr>
      </w:pPr>
      <w:bookmarkStart w:id="95" w:name="_Toc430353138"/>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no tiene experiencia relevante en proyectos de energía renovable. </w:t>
      </w:r>
      <w:r w:rsidR="003E0A91" w:rsidRPr="00AF69E0">
        <w:rPr>
          <w:rFonts w:ascii="Arial" w:hAnsi="Arial" w:cs="Arial"/>
          <w:sz w:val="22"/>
          <w:szCs w:val="22"/>
          <w:lang w:val="es-ES_tradnl"/>
        </w:rPr>
        <w:t xml:space="preserve">Y su sistema de gestión ambiental y social está diseñado para créditos corporativos en lugar </w:t>
      </w:r>
      <w:r w:rsidR="003E0A91" w:rsidRPr="00AF69E0">
        <w:rPr>
          <w:rFonts w:ascii="Arial" w:hAnsi="Arial" w:cs="Arial"/>
          <w:sz w:val="22"/>
          <w:szCs w:val="22"/>
          <w:lang w:val="es-ES_tradnl"/>
        </w:rPr>
        <w:lastRenderedPageBreak/>
        <w:t xml:space="preserve">de préstamos para proyectos.  </w:t>
      </w:r>
      <w:r w:rsidR="003E0A91" w:rsidRPr="002C7B6E">
        <w:rPr>
          <w:rFonts w:ascii="Arial" w:hAnsi="Arial" w:cs="Arial"/>
          <w:sz w:val="22"/>
          <w:szCs w:val="22"/>
          <w:lang w:val="es-ES_tradnl"/>
        </w:rPr>
        <w:t xml:space="preserve">Esta es la razón por la cual el BID proveerá asistencia a </w:t>
      </w:r>
      <w:r w:rsidRPr="002C7B6E">
        <w:rPr>
          <w:rFonts w:ascii="Arial" w:hAnsi="Arial" w:cs="Arial"/>
          <w:sz w:val="22"/>
          <w:szCs w:val="22"/>
          <w:lang w:val="es-ES_tradnl"/>
        </w:rPr>
        <w:t>BANCÓLDEX</w:t>
      </w:r>
      <w:r w:rsidR="003E0A91" w:rsidRPr="002C7B6E">
        <w:rPr>
          <w:rFonts w:ascii="Arial" w:hAnsi="Arial" w:cs="Arial"/>
          <w:sz w:val="22"/>
          <w:szCs w:val="22"/>
          <w:lang w:val="es-ES_tradnl"/>
        </w:rPr>
        <w:t xml:space="preserve"> para el ajuste necesario de sus herramientas en su sistema de gestión ambiental y social.</w:t>
      </w:r>
      <w:bookmarkEnd w:id="95"/>
      <w:r w:rsidR="003E0A91" w:rsidRPr="002C7B6E">
        <w:rPr>
          <w:rFonts w:ascii="Arial" w:hAnsi="Arial" w:cs="Arial"/>
          <w:sz w:val="22"/>
          <w:szCs w:val="22"/>
          <w:lang w:val="es-ES_tradnl"/>
        </w:rPr>
        <w:t xml:space="preserve">  </w:t>
      </w:r>
    </w:p>
    <w:p w:rsidR="003E0A91" w:rsidRPr="00CB63CD" w:rsidRDefault="003E0A91" w:rsidP="00CB63CD">
      <w:pPr>
        <w:spacing w:before="120" w:after="120"/>
        <w:rPr>
          <w:rFonts w:ascii="Arial" w:hAnsi="Arial" w:cs="Arial"/>
          <w:b/>
          <w:sz w:val="22"/>
          <w:szCs w:val="22"/>
          <w:lang w:val="es-ES_tradnl"/>
        </w:rPr>
      </w:pPr>
      <w:bookmarkStart w:id="96" w:name="_Toc430353139"/>
      <w:r w:rsidRPr="00CB63CD">
        <w:rPr>
          <w:rFonts w:ascii="Arial" w:hAnsi="Arial" w:cs="Arial"/>
          <w:b/>
          <w:sz w:val="22"/>
          <w:szCs w:val="22"/>
          <w:lang w:val="es-ES_tradnl"/>
        </w:rPr>
        <w:t>Requisitos que deben incluirse en los acuerdos legales</w:t>
      </w:r>
      <w:bookmarkEnd w:id="96"/>
      <w:r w:rsidRPr="00CB63CD">
        <w:rPr>
          <w:rFonts w:ascii="Arial" w:hAnsi="Arial" w:cs="Arial"/>
          <w:b/>
          <w:sz w:val="22"/>
          <w:szCs w:val="22"/>
          <w:lang w:val="es-ES_tradnl"/>
        </w:rPr>
        <w:t xml:space="preserve"> </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 xml:space="preserve">Para esta operación, el BID le exigirá a </w:t>
      </w:r>
      <w:r w:rsidR="002C7B6E">
        <w:rPr>
          <w:rFonts w:ascii="Arial" w:hAnsi="Arial" w:cs="Arial"/>
          <w:sz w:val="22"/>
          <w:szCs w:val="22"/>
          <w:lang w:val="es-ES_tradnl"/>
        </w:rPr>
        <w:t>BANCÓLDEX</w:t>
      </w:r>
      <w:r w:rsidRPr="00CB63CD">
        <w:rPr>
          <w:rFonts w:ascii="Arial" w:hAnsi="Arial" w:cs="Arial"/>
          <w:sz w:val="22"/>
          <w:szCs w:val="22"/>
          <w:lang w:val="es-ES_tradnl"/>
        </w:rPr>
        <w:t>:</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A. A lo largo de la vida del préstamo:</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cumpla con todas las leyes nacionales en materia ambiental, social, los requisitos reglamentarios en el ámbito de la seguridad, la salud y el trabajo, y - en relación con la financiación de los sub-proyectos con fondos del BID - que se asegure de que cada sub-proyecto cumple con: (a) El sistema de gestión ambiental y social (independientemente del monto de dólares financiado) de </w:t>
      </w:r>
      <w:r w:rsidR="002C7B6E">
        <w:rPr>
          <w:rFonts w:ascii="Arial" w:hAnsi="Arial" w:cs="Arial"/>
          <w:sz w:val="22"/>
          <w:szCs w:val="22"/>
          <w:lang w:val="es-ES_tradnl"/>
        </w:rPr>
        <w:t>BANCÓLDEX</w:t>
      </w:r>
      <w:r w:rsidRPr="00CB63CD">
        <w:rPr>
          <w:rFonts w:ascii="Arial" w:hAnsi="Arial" w:cs="Arial"/>
          <w:sz w:val="22"/>
          <w:szCs w:val="22"/>
          <w:lang w:val="es-ES_tradnl"/>
        </w:rPr>
        <w:t>; (b) la regulación local relevante; (c) la lista de actividades excluidas (véase el Anexo 1); (d) los principios fundamentales de los derechos laborales.</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Para los proyectos de energía renovable específicos y la aplicación del sistema de gestión ambiental y social, que desarrolle con la ayuda del BID y la capacitación adecuada, el o los formularios de evaluación para evaluar los impactos ambientales y sociales específicos.  </w:t>
      </w:r>
      <w:r w:rsidR="002C7B6E">
        <w:rPr>
          <w:rFonts w:ascii="Arial" w:hAnsi="Arial" w:cs="Arial"/>
          <w:sz w:val="22"/>
          <w:szCs w:val="22"/>
          <w:lang w:val="es-ES_tradnl"/>
        </w:rPr>
        <w:t>BANCÓLDEX</w:t>
      </w:r>
      <w:r w:rsidRPr="00CB63CD">
        <w:rPr>
          <w:rFonts w:ascii="Arial" w:hAnsi="Arial" w:cs="Arial"/>
          <w:sz w:val="22"/>
          <w:szCs w:val="22"/>
          <w:lang w:val="es-ES_tradnl"/>
        </w:rPr>
        <w:t xml:space="preserve"> implementará este o estos formularios antes de la financiación del primer sub-proyecto. Esos formularios integrarán la comprobación de la posesión de los permisos pertinentes y el cumplimiento con la directiva presidencial sobre Consulta previa (véase arriba). En el caso de proyectos de biomasa, los formularios incluirán una evaluación de los posibles riesgos en la cadena de suministro (riesgo de deforestación o uso del suelo). </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Cuando se identifiquen riesgos potenciales altos en el proceso de evaluación, que solicite un plan de gestión de los riesgos identificados y garantice que esta solicitud sea jurídicamente vinculante para el prestatario final.  Que supervise y controle estos planes de gestión de manera periódica y elabore los informes resumidos necesarios.  Cuando sea necesario, que acuerde con el cliente la realización de acciones correctivas si corresponde.</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Para evitar cualquier fuga de emisiones de GEI, se diseñará e implementará un protocolo de disposición de equipos y materiales reemplazados. Dicho protocolo se describirá en el </w:t>
      </w:r>
      <w:r w:rsidR="00AF69E0">
        <w:rPr>
          <w:rFonts w:ascii="Arial" w:hAnsi="Arial" w:cs="Arial"/>
          <w:sz w:val="22"/>
          <w:szCs w:val="22"/>
          <w:lang w:val="es-ES_tradnl"/>
        </w:rPr>
        <w:t>reglamento de crédito</w:t>
      </w:r>
      <w:r w:rsidRPr="00CB63CD">
        <w:rPr>
          <w:rFonts w:ascii="Arial" w:hAnsi="Arial" w:cs="Arial"/>
          <w:sz w:val="22"/>
          <w:szCs w:val="22"/>
          <w:lang w:val="es-ES_tradnl"/>
        </w:rPr>
        <w:t xml:space="preserve"> diseñado para este programa. </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notifique al BID en un plazo de cinco días en cualquier instancia del sub-proyecto cualquier incumplimiento con respecto a cualquier problemática en materia de seguridad, ambiental, social y de salud, y los requisitos del contrato de préstamo, planes de acción acordados u otras cláusulas legales pertinentes.  </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B. Antes del primer desembolso:</w:t>
      </w:r>
    </w:p>
    <w:p w:rsidR="003E0A91" w:rsidRPr="00CB63CD"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Que implemente el </w:t>
      </w:r>
      <w:r w:rsidR="00AF69E0">
        <w:rPr>
          <w:rFonts w:ascii="Arial" w:hAnsi="Arial" w:cs="Arial"/>
          <w:sz w:val="22"/>
          <w:szCs w:val="22"/>
          <w:lang w:val="es-ES_tradnl"/>
        </w:rPr>
        <w:t>reglamento de crédito</w:t>
      </w:r>
      <w:r w:rsidRPr="00CB63CD">
        <w:rPr>
          <w:rFonts w:ascii="Arial" w:hAnsi="Arial" w:cs="Arial"/>
          <w:sz w:val="22"/>
          <w:szCs w:val="22"/>
          <w:lang w:val="es-ES_tradnl"/>
        </w:rPr>
        <w:t xml:space="preserve"> diseñado para este programa como condición para el primer desembolso y, en concreto, que aplique las condiciones contractuales que detallan determinados procedimientos y normas ambientales y sociales tal como se define dentro de este informe de gestión ambiental y social (IGAS).</w:t>
      </w:r>
    </w:p>
    <w:p w:rsidR="003E0A91" w:rsidRPr="00CB63CD" w:rsidRDefault="003E0A91" w:rsidP="00CB63CD">
      <w:pPr>
        <w:spacing w:before="120" w:after="120"/>
        <w:rPr>
          <w:rFonts w:ascii="Arial" w:hAnsi="Arial" w:cs="Arial"/>
          <w:sz w:val="22"/>
          <w:szCs w:val="22"/>
          <w:lang w:val="es-ES_tradnl"/>
        </w:rPr>
      </w:pPr>
      <w:r w:rsidRPr="00CB63CD">
        <w:rPr>
          <w:rFonts w:ascii="Arial" w:hAnsi="Arial" w:cs="Arial"/>
          <w:sz w:val="22"/>
          <w:szCs w:val="22"/>
          <w:lang w:val="es-ES_tradnl"/>
        </w:rPr>
        <w:t>C. Informes, control y supervisión:</w:t>
      </w:r>
    </w:p>
    <w:p w:rsidR="003E0A91" w:rsidRPr="00AF69E0"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Durante la vigencia del contrato de préstamo, </w:t>
      </w:r>
      <w:r w:rsidR="002C7B6E">
        <w:rPr>
          <w:rFonts w:ascii="Arial" w:hAnsi="Arial" w:cs="Arial"/>
          <w:sz w:val="22"/>
          <w:szCs w:val="22"/>
          <w:lang w:val="es-ES_tradnl"/>
        </w:rPr>
        <w:t>BANCÓLDEX</w:t>
      </w:r>
      <w:r w:rsidRPr="00CB63CD">
        <w:rPr>
          <w:rFonts w:ascii="Arial" w:hAnsi="Arial" w:cs="Arial"/>
          <w:sz w:val="22"/>
          <w:szCs w:val="22"/>
          <w:lang w:val="es-ES_tradnl"/>
        </w:rPr>
        <w:t xml:space="preserve"> preparará y presentará un informe de cumplimiento ambiental y social (ICAS), en forma, contenido y frecuencia </w:t>
      </w:r>
      <w:r w:rsidRPr="00CB63CD">
        <w:rPr>
          <w:rFonts w:ascii="Arial" w:hAnsi="Arial" w:cs="Arial"/>
          <w:sz w:val="22"/>
          <w:szCs w:val="22"/>
          <w:lang w:val="es-ES_tradnl"/>
        </w:rPr>
        <w:lastRenderedPageBreak/>
        <w:t xml:space="preserve">aceptables para el BID. </w:t>
      </w:r>
      <w:r w:rsidRPr="00AF69E0">
        <w:rPr>
          <w:rFonts w:ascii="Arial" w:hAnsi="Arial" w:cs="Arial"/>
          <w:sz w:val="22"/>
          <w:szCs w:val="22"/>
          <w:lang w:val="es-ES_tradnl"/>
        </w:rPr>
        <w:t xml:space="preserve">Se prevé que esta presentación sea anual e incluya una lista de inversiones individuales, cada una con su impacto ambiental y social, y la categorización del riesgo, un resumen de las problemáticas clave relacionadas con impacto y riesgo identificadas durante la evaluación, un resumen de las medidas de mitigación acordadas, así como el estado de cumplimiento con estas medidas de mitigación (para aquellos proyectos que se han trasladado a ejecución/supervisión) y/o el estado de cumplimiento con un plan de acción correctiva (PAC) (si existiera). </w:t>
      </w:r>
    </w:p>
    <w:p w:rsidR="003E0A91" w:rsidRPr="00AF69E0" w:rsidRDefault="003E0A91" w:rsidP="00CB63CD">
      <w:pPr>
        <w:spacing w:before="120" w:after="120"/>
        <w:jc w:val="both"/>
        <w:rPr>
          <w:rFonts w:ascii="Arial" w:hAnsi="Arial" w:cs="Arial"/>
          <w:sz w:val="22"/>
          <w:szCs w:val="22"/>
          <w:lang w:val="es-ES_tradnl"/>
        </w:rPr>
      </w:pPr>
      <w:r w:rsidRPr="00CB63CD">
        <w:rPr>
          <w:rFonts w:ascii="Arial" w:hAnsi="Arial" w:cs="Arial"/>
          <w:sz w:val="22"/>
          <w:szCs w:val="22"/>
          <w:lang w:val="es-ES_tradnl"/>
        </w:rPr>
        <w:t xml:space="preserve">El BID supervisará los aspectos ambientales, sociales, de salud y seguridad, y laborales relacionados con el uso de los fondos del programa con una frecuencia semestral/anual. </w:t>
      </w:r>
      <w:r w:rsidRPr="00AF69E0">
        <w:rPr>
          <w:rFonts w:ascii="Arial" w:hAnsi="Arial" w:cs="Arial"/>
          <w:sz w:val="22"/>
          <w:szCs w:val="22"/>
          <w:lang w:val="es-ES_tradnl"/>
        </w:rPr>
        <w:t xml:space="preserve">Un especialista interno llevará a cabo esta supervisión (y, según sea necesario, con la ayuda de un consultor en materia ambiental y social independiente y externo). </w:t>
      </w:r>
    </w:p>
    <w:p w:rsidR="007A7948" w:rsidRPr="005B57B7" w:rsidRDefault="007A7948" w:rsidP="00CB63CD">
      <w:pPr>
        <w:spacing w:before="120" w:after="120"/>
        <w:rPr>
          <w:sz w:val="32"/>
          <w:szCs w:val="32"/>
          <w:lang w:val="es-ES"/>
        </w:rPr>
      </w:pPr>
      <w:r w:rsidRPr="005B57B7">
        <w:rPr>
          <w:sz w:val="32"/>
          <w:szCs w:val="32"/>
          <w:lang w:val="es-ES"/>
        </w:rPr>
        <w:br w:type="page"/>
      </w:r>
    </w:p>
    <w:p w:rsidR="00AD3A64" w:rsidRPr="00AF69E0" w:rsidRDefault="00137301" w:rsidP="00F736FC">
      <w:pPr>
        <w:pStyle w:val="Heading3"/>
        <w:numPr>
          <w:ilvl w:val="0"/>
          <w:numId w:val="0"/>
        </w:numPr>
        <w:spacing w:before="0"/>
        <w:ind w:left="2160" w:hanging="2160"/>
        <w:jc w:val="center"/>
        <w:rPr>
          <w:sz w:val="28"/>
          <w:szCs w:val="32"/>
          <w:lang w:val="es-ES_tradnl"/>
        </w:rPr>
      </w:pPr>
      <w:bookmarkStart w:id="97" w:name="_Toc430353140"/>
      <w:bookmarkStart w:id="98" w:name="_Toc431307137"/>
      <w:r w:rsidRPr="00AF69E0">
        <w:rPr>
          <w:sz w:val="32"/>
          <w:szCs w:val="32"/>
          <w:lang w:val="es-ES_tradnl"/>
        </w:rPr>
        <w:t xml:space="preserve">ANEXO </w:t>
      </w:r>
      <w:bookmarkEnd w:id="87"/>
      <w:r w:rsidR="00A82229" w:rsidRPr="00AF69E0">
        <w:rPr>
          <w:sz w:val="32"/>
          <w:szCs w:val="32"/>
          <w:lang w:val="es-ES_tradnl"/>
        </w:rPr>
        <w:t xml:space="preserve">2 </w:t>
      </w:r>
      <w:r w:rsidR="004B0E2A" w:rsidRPr="00AF69E0">
        <w:rPr>
          <w:sz w:val="32"/>
          <w:szCs w:val="32"/>
          <w:lang w:val="es-ES_tradnl"/>
        </w:rPr>
        <w:t xml:space="preserve">- </w:t>
      </w:r>
      <w:bookmarkStart w:id="99" w:name="_Toc428252182"/>
      <w:r w:rsidR="00AD3A64" w:rsidRPr="00AF69E0">
        <w:rPr>
          <w:sz w:val="28"/>
          <w:szCs w:val="32"/>
          <w:lang w:val="es-ES_tradnl"/>
        </w:rPr>
        <w:t>Lista de Actividades Excluidas</w:t>
      </w:r>
      <w:bookmarkEnd w:id="97"/>
      <w:bookmarkEnd w:id="98"/>
      <w:r w:rsidR="00A75652" w:rsidRPr="00AF69E0">
        <w:rPr>
          <w:sz w:val="28"/>
          <w:szCs w:val="32"/>
          <w:lang w:val="es-ES_tradnl"/>
        </w:rPr>
        <w:t xml:space="preserve"> </w:t>
      </w:r>
      <w:bookmarkEnd w:id="99"/>
    </w:p>
    <w:p w:rsidR="00A75652" w:rsidRPr="00AF69E0" w:rsidRDefault="00A75652" w:rsidP="00A75652">
      <w:pPr>
        <w:autoSpaceDE w:val="0"/>
        <w:autoSpaceDN w:val="0"/>
        <w:adjustRightInd w:val="0"/>
        <w:rPr>
          <w:rFonts w:eastAsia="Calibri"/>
          <w:b/>
          <w:bCs/>
          <w:sz w:val="20"/>
          <w:szCs w:val="20"/>
          <w:lang w:val="es-ES_tradnl"/>
        </w:rPr>
      </w:pPr>
    </w:p>
    <w:p w:rsidR="00A75652" w:rsidRPr="005B57B7" w:rsidRDefault="00A75652" w:rsidP="00CD3EE8">
      <w:pPr>
        <w:autoSpaceDE w:val="0"/>
        <w:autoSpaceDN w:val="0"/>
        <w:adjustRightInd w:val="0"/>
        <w:jc w:val="both"/>
        <w:rPr>
          <w:rFonts w:ascii="Arial" w:eastAsia="Calibri" w:hAnsi="Arial" w:cs="Arial"/>
          <w:sz w:val="22"/>
          <w:szCs w:val="22"/>
          <w:lang w:val="es-ES"/>
        </w:rPr>
      </w:pPr>
      <w:r w:rsidRPr="005B57B7">
        <w:rPr>
          <w:rFonts w:ascii="Arial" w:eastAsia="Calibri" w:hAnsi="Arial" w:cs="Arial"/>
          <w:sz w:val="22"/>
          <w:szCs w:val="22"/>
          <w:lang w:val="es-ES"/>
        </w:rPr>
        <w:t>El BID no otorga financiamiento para proyectos ni compañías involucrados en la producción, comercio o uso de los productos, sustancias o actividades enunciados en la siguiente lista.</w:t>
      </w:r>
      <w:r w:rsidR="00366794" w:rsidRPr="005B57B7">
        <w:rPr>
          <w:rFonts w:ascii="Arial" w:eastAsia="Calibri" w:hAnsi="Arial" w:cs="Arial"/>
          <w:color w:val="000000"/>
          <w:sz w:val="22"/>
          <w:szCs w:val="22"/>
          <w:vertAlign w:val="superscript"/>
          <w:lang w:val="es-ES"/>
        </w:rPr>
        <w:t xml:space="preserve"> 1 </w:t>
      </w:r>
    </w:p>
    <w:p w:rsidR="00A75652" w:rsidRPr="005B57B7" w:rsidRDefault="00A75652" w:rsidP="00A75652">
      <w:pPr>
        <w:autoSpaceDE w:val="0"/>
        <w:autoSpaceDN w:val="0"/>
        <w:adjustRightInd w:val="0"/>
        <w:rPr>
          <w:rFonts w:ascii="Arial" w:eastAsia="Calibri" w:hAnsi="Arial" w:cs="Arial"/>
          <w:color w:val="000000"/>
          <w:sz w:val="22"/>
          <w:szCs w:val="22"/>
          <w:lang w:val="es-ES"/>
        </w:rPr>
      </w:pP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Los que sean ilegales conforme a las leyes o reglamentos del país receptor, o conforme a convenciones y tratados internacionales ratificados por éste.</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Armas y municiones</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Tabaco</w:t>
      </w:r>
      <w:r w:rsidRPr="005B57B7">
        <w:rPr>
          <w:rFonts w:ascii="Arial" w:eastAsia="Calibri" w:hAnsi="Arial" w:cs="Arial"/>
          <w:color w:val="000000"/>
          <w:sz w:val="22"/>
          <w:szCs w:val="22"/>
          <w:vertAlign w:val="superscript"/>
          <w:lang w:val="es-ES"/>
        </w:rPr>
        <w:t>1</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Juegos de azar, casinos y empresas equivalentes</w:t>
      </w:r>
      <w:r w:rsidRPr="005B57B7">
        <w:rPr>
          <w:rFonts w:ascii="Arial" w:eastAsia="Calibri" w:hAnsi="Arial" w:cs="Arial"/>
          <w:color w:val="000000"/>
          <w:sz w:val="22"/>
          <w:szCs w:val="22"/>
          <w:vertAlign w:val="superscript"/>
          <w:lang w:val="es-ES"/>
        </w:rPr>
        <w:t>2</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 xml:space="preserve">Animales y plantas silvestres o productos derivados de ellos reglamentados conforme a la Convención sobre el Comercio Internacional de Especies Amenazadas de Fauna y Flora Silvestres (CITES) </w:t>
      </w:r>
      <w:r w:rsidRPr="005B57B7">
        <w:rPr>
          <w:rFonts w:ascii="Arial" w:eastAsia="Calibri" w:hAnsi="Arial" w:cs="Arial"/>
          <w:color w:val="000000"/>
          <w:sz w:val="22"/>
          <w:szCs w:val="22"/>
          <w:vertAlign w:val="superscript"/>
          <w:lang w:val="es-ES"/>
        </w:rPr>
        <w:t>3</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Materiales radiactivos</w:t>
      </w:r>
      <w:r w:rsidRPr="005B57B7">
        <w:rPr>
          <w:rFonts w:ascii="Arial" w:eastAsia="Calibri" w:hAnsi="Arial" w:cs="Arial"/>
          <w:color w:val="000000"/>
          <w:sz w:val="22"/>
          <w:szCs w:val="22"/>
          <w:vertAlign w:val="superscript"/>
          <w:lang w:val="es-ES"/>
        </w:rPr>
        <w:t>4</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Fibras de amianto no aglutinado</w:t>
      </w:r>
      <w:r w:rsidRPr="005B57B7">
        <w:rPr>
          <w:rFonts w:ascii="Arial" w:eastAsia="Calibri" w:hAnsi="Arial" w:cs="Arial"/>
          <w:color w:val="000000"/>
          <w:sz w:val="22"/>
          <w:szCs w:val="22"/>
          <w:vertAlign w:val="superscript"/>
          <w:lang w:val="es-ES"/>
        </w:rPr>
        <w:t>5</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u operaciones forestales que no sean congruentes con la Política de medio ambiente y observancia de salvaguardias del Banco (documento GN-2208-20)</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Compuestos de bifenilo policlorado</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Productos farmacéuticos sujetos a eliminación gradual o prohibición internacional</w:t>
      </w:r>
      <w:r w:rsidRPr="005B57B7">
        <w:rPr>
          <w:rFonts w:ascii="Arial" w:eastAsia="Calibri" w:hAnsi="Arial" w:cs="Arial"/>
          <w:color w:val="000000"/>
          <w:sz w:val="22"/>
          <w:szCs w:val="22"/>
          <w:vertAlign w:val="superscript"/>
          <w:lang w:val="es-ES"/>
        </w:rPr>
        <w:t>6</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Pesticidas y herbicidas sujetos a eliminación gradual o prohibición internacional</w:t>
      </w:r>
      <w:r w:rsidRPr="005B57B7">
        <w:rPr>
          <w:rFonts w:ascii="Arial" w:eastAsia="Calibri" w:hAnsi="Arial" w:cs="Arial"/>
          <w:color w:val="000000"/>
          <w:sz w:val="22"/>
          <w:szCs w:val="22"/>
          <w:vertAlign w:val="superscript"/>
          <w:lang w:val="es-ES"/>
        </w:rPr>
        <w:t>7</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Sustancias que agotan la capa de ozono sujetas a eliminación gradual internacional</w:t>
      </w:r>
      <w:r w:rsidRPr="005B57B7">
        <w:rPr>
          <w:rFonts w:ascii="Arial" w:eastAsia="Calibri" w:hAnsi="Arial" w:cs="Arial"/>
          <w:color w:val="000000"/>
          <w:sz w:val="22"/>
          <w:szCs w:val="22"/>
          <w:vertAlign w:val="superscript"/>
          <w:lang w:val="es-ES"/>
        </w:rPr>
        <w:t>8</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Pesca en el entorno marítimo con redes de arrastre superiores a 2,5 km de longitud</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Movimientos transfronterizos de desechos y productos de desecho</w:t>
      </w:r>
      <w:r w:rsidRPr="005B57B7">
        <w:rPr>
          <w:rFonts w:ascii="Arial" w:eastAsia="Calibri" w:hAnsi="Arial" w:cs="Arial"/>
          <w:color w:val="000000"/>
          <w:sz w:val="22"/>
          <w:szCs w:val="22"/>
          <w:vertAlign w:val="superscript"/>
          <w:lang w:val="es-ES"/>
        </w:rPr>
        <w:t>9</w:t>
      </w:r>
      <w:r w:rsidRPr="005B57B7">
        <w:rPr>
          <w:rFonts w:ascii="Arial" w:eastAsia="Calibri" w:hAnsi="Arial" w:cs="Arial"/>
          <w:color w:val="000000"/>
          <w:sz w:val="22"/>
          <w:szCs w:val="22"/>
          <w:lang w:val="es-ES"/>
        </w:rPr>
        <w:t>, excepto desechos no peligrosos destinados a reciclaje</w:t>
      </w:r>
    </w:p>
    <w:p w:rsidR="00A75652" w:rsidRPr="005B57B7"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Contaminantes orgánicos persistentes</w:t>
      </w:r>
      <w:r w:rsidRPr="005B57B7">
        <w:rPr>
          <w:rFonts w:ascii="Arial" w:eastAsia="Calibri" w:hAnsi="Arial" w:cs="Arial"/>
          <w:color w:val="000000"/>
          <w:sz w:val="22"/>
          <w:szCs w:val="22"/>
          <w:vertAlign w:val="superscript"/>
          <w:lang w:val="es-ES"/>
        </w:rPr>
        <w:t>10</w:t>
      </w:r>
    </w:p>
    <w:p w:rsidR="00A75652" w:rsidRPr="00E44481" w:rsidRDefault="00A75652" w:rsidP="005C0337">
      <w:pPr>
        <w:numPr>
          <w:ilvl w:val="0"/>
          <w:numId w:val="6"/>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Incumplimiento de los principios fundamentales de los trabajadores y de los derechos en el trabajo</w:t>
      </w:r>
      <w:r w:rsidRPr="005B57B7">
        <w:rPr>
          <w:rFonts w:ascii="Arial" w:eastAsia="Calibri" w:hAnsi="Arial" w:cs="Arial"/>
          <w:color w:val="000000"/>
          <w:sz w:val="22"/>
          <w:szCs w:val="22"/>
          <w:vertAlign w:val="superscript"/>
          <w:lang w:val="es-ES"/>
        </w:rPr>
        <w:t>11</w:t>
      </w:r>
    </w:p>
    <w:p w:rsidR="00A82229" w:rsidRPr="005B57B7" w:rsidRDefault="00A82229" w:rsidP="00E44481">
      <w:pPr>
        <w:autoSpaceDE w:val="0"/>
        <w:autoSpaceDN w:val="0"/>
        <w:adjustRightInd w:val="0"/>
        <w:spacing w:after="200" w:line="276" w:lineRule="auto"/>
        <w:ind w:left="720"/>
        <w:contextualSpacing/>
        <w:jc w:val="both"/>
        <w:rPr>
          <w:rFonts w:ascii="Arial" w:eastAsia="Calibri" w:hAnsi="Arial" w:cs="Arial"/>
          <w:color w:val="000000"/>
          <w:sz w:val="22"/>
          <w:szCs w:val="22"/>
          <w:vertAlign w:val="superscript"/>
          <w:lang w:val="es-ES"/>
        </w:rPr>
      </w:pPr>
    </w:p>
    <w:p w:rsidR="00A82229" w:rsidRPr="005B57B7" w:rsidRDefault="00A82229" w:rsidP="00E44481">
      <w:p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 xml:space="preserve">Los otros proyectos (sub-prestamos) </w:t>
      </w:r>
      <w:r w:rsidRPr="00E44481">
        <w:rPr>
          <w:rFonts w:ascii="Arial" w:eastAsia="Calibri" w:hAnsi="Arial" w:cs="Arial"/>
          <w:color w:val="000000"/>
          <w:sz w:val="22"/>
          <w:szCs w:val="22"/>
          <w:lang w:val="es-ES"/>
        </w:rPr>
        <w:t>e</w:t>
      </w:r>
      <w:r w:rsidRPr="005B57B7">
        <w:rPr>
          <w:rFonts w:ascii="Arial" w:eastAsia="Calibri" w:hAnsi="Arial" w:cs="Arial"/>
          <w:color w:val="000000"/>
          <w:sz w:val="22"/>
          <w:szCs w:val="22"/>
          <w:lang w:val="es-ES"/>
        </w:rPr>
        <w:t>x</w:t>
      </w:r>
      <w:r w:rsidRPr="00E44481">
        <w:rPr>
          <w:rFonts w:ascii="Arial" w:eastAsia="Calibri" w:hAnsi="Arial" w:cs="Arial"/>
          <w:color w:val="000000"/>
          <w:sz w:val="22"/>
          <w:szCs w:val="22"/>
          <w:lang w:val="es-ES"/>
        </w:rPr>
        <w:t>cluid</w:t>
      </w:r>
      <w:r w:rsidRPr="005B57B7">
        <w:rPr>
          <w:rFonts w:ascii="Arial" w:eastAsia="Calibri" w:hAnsi="Arial" w:cs="Arial"/>
          <w:color w:val="000000"/>
          <w:sz w:val="22"/>
          <w:szCs w:val="22"/>
          <w:lang w:val="es-ES"/>
        </w:rPr>
        <w:t>o</w:t>
      </w:r>
      <w:r w:rsidRPr="00E44481">
        <w:rPr>
          <w:rFonts w:ascii="Arial" w:eastAsia="Calibri" w:hAnsi="Arial" w:cs="Arial"/>
          <w:color w:val="000000"/>
          <w:sz w:val="22"/>
          <w:szCs w:val="22"/>
          <w:lang w:val="es-ES"/>
        </w:rPr>
        <w:t xml:space="preserve">s </w:t>
      </w:r>
      <w:r w:rsidRPr="005B57B7">
        <w:rPr>
          <w:rFonts w:ascii="Arial" w:eastAsia="Calibri" w:hAnsi="Arial" w:cs="Arial"/>
          <w:color w:val="000000"/>
          <w:sz w:val="22"/>
          <w:szCs w:val="22"/>
          <w:lang w:val="es-ES"/>
        </w:rPr>
        <w:t xml:space="preserve">para este programa son: </w:t>
      </w:r>
    </w:p>
    <w:p w:rsidR="00A82229" w:rsidRPr="005B57B7" w:rsidRDefault="00A82229"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involucren reasentamiento</w:t>
      </w:r>
    </w:p>
    <w:p w:rsidR="00A82229" w:rsidRPr="005B57B7" w:rsidRDefault="00A82229"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involucren biomasa que no sea de residuos agrícolas</w:t>
      </w:r>
    </w:p>
    <w:p w:rsidR="00A82229"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localizados en las áreas de la mapa presentada en Anexo 2</w:t>
      </w:r>
    </w:p>
    <w:p w:rsidR="007A7948"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clasificados como A (Alto riesgo)</w:t>
      </w:r>
    </w:p>
    <w:p w:rsidR="007A7948" w:rsidRPr="005B57B7" w:rsidRDefault="007A7948" w:rsidP="00E44481">
      <w:pPr>
        <w:numPr>
          <w:ilvl w:val="0"/>
          <w:numId w:val="30"/>
        </w:numPr>
        <w:autoSpaceDE w:val="0"/>
        <w:autoSpaceDN w:val="0"/>
        <w:adjustRightInd w:val="0"/>
        <w:spacing w:after="200" w:line="276" w:lineRule="auto"/>
        <w:contextualSpacing/>
        <w:jc w:val="both"/>
        <w:rPr>
          <w:rFonts w:ascii="Arial" w:eastAsia="Calibri" w:hAnsi="Arial" w:cs="Arial"/>
          <w:color w:val="000000"/>
          <w:sz w:val="22"/>
          <w:szCs w:val="22"/>
          <w:lang w:val="es-ES"/>
        </w:rPr>
      </w:pPr>
      <w:r w:rsidRPr="005B57B7">
        <w:rPr>
          <w:rFonts w:ascii="Arial" w:eastAsia="Calibri" w:hAnsi="Arial" w:cs="Arial"/>
          <w:color w:val="000000"/>
          <w:sz w:val="22"/>
          <w:szCs w:val="22"/>
          <w:lang w:val="es-ES"/>
        </w:rPr>
        <w:t>Proyectos que no cumplen con el Protocolo de Disposición</w:t>
      </w:r>
    </w:p>
    <w:p w:rsidR="00A82229" w:rsidRPr="005B57B7" w:rsidRDefault="00A82229" w:rsidP="00E44481">
      <w:pPr>
        <w:autoSpaceDE w:val="0"/>
        <w:autoSpaceDN w:val="0"/>
        <w:adjustRightInd w:val="0"/>
        <w:spacing w:after="200" w:line="276" w:lineRule="auto"/>
        <w:contextualSpacing/>
        <w:jc w:val="both"/>
        <w:rPr>
          <w:rFonts w:ascii="Arial" w:eastAsia="Calibri" w:hAnsi="Arial" w:cs="Arial"/>
          <w:color w:val="000000"/>
          <w:sz w:val="22"/>
          <w:szCs w:val="22"/>
          <w:lang w:val="es-ES"/>
        </w:rPr>
      </w:pPr>
    </w:p>
    <w:p w:rsidR="00A75652" w:rsidRPr="005B57B7" w:rsidRDefault="00A75652" w:rsidP="00A75652">
      <w:pPr>
        <w:pBdr>
          <w:bottom w:val="single" w:sz="12" w:space="1" w:color="auto"/>
        </w:pBdr>
        <w:autoSpaceDE w:val="0"/>
        <w:autoSpaceDN w:val="0"/>
        <w:adjustRightInd w:val="0"/>
        <w:rPr>
          <w:rFonts w:ascii="TimesNewRoman" w:eastAsia="Calibri" w:hAnsi="TimesNewRoman" w:cs="TimesNewRoman"/>
          <w:color w:val="000000"/>
          <w:sz w:val="22"/>
          <w:szCs w:val="22"/>
          <w:lang w:val="es-ES"/>
        </w:rPr>
      </w:pPr>
    </w:p>
    <w:p w:rsidR="00A75652" w:rsidRPr="005B57B7" w:rsidRDefault="00A75652" w:rsidP="00A75652">
      <w:pPr>
        <w:autoSpaceDE w:val="0"/>
        <w:autoSpaceDN w:val="0"/>
        <w:adjustRightInd w:val="0"/>
        <w:rPr>
          <w:rFonts w:ascii="TimesNewRoman" w:eastAsia="Calibri" w:hAnsi="TimesNewRoman" w:cs="TimesNewRoman"/>
          <w:color w:val="000000"/>
          <w:lang w:val="es-ES"/>
        </w:rPr>
      </w:pP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1</w:t>
      </w:r>
      <w:r w:rsidRPr="005B57B7">
        <w:rPr>
          <w:rFonts w:ascii="Arial" w:eastAsia="Calibri" w:hAnsi="Arial" w:cs="Arial"/>
          <w:color w:val="000000"/>
          <w:sz w:val="18"/>
          <w:szCs w:val="18"/>
          <w:lang w:val="es-ES"/>
        </w:rPr>
        <w:t xml:space="preserve"> </w:t>
      </w:r>
      <w:r w:rsidR="00366794" w:rsidRPr="005B57B7">
        <w:rPr>
          <w:rFonts w:ascii="Arial" w:hAnsi="Arial" w:cs="Arial"/>
          <w:sz w:val="18"/>
          <w:szCs w:val="18"/>
          <w:lang w:val="es-ES"/>
        </w:rPr>
        <w:t xml:space="preserve">El presente Reglamento establece como herramienta de aplicación  ex-ante de la presente Lista de Exclusión la aplicación de la lista positiva que consta del Anexo 2. La lista de exclusión se aplicará además para control ex-post en casos en que </w:t>
      </w:r>
      <w:r w:rsidR="00591CAD">
        <w:rPr>
          <w:rFonts w:ascii="Arial" w:hAnsi="Arial" w:cs="Arial"/>
          <w:sz w:val="18"/>
          <w:szCs w:val="18"/>
          <w:lang w:val="es-ES"/>
        </w:rPr>
        <w:t>BANCÓLDEX</w:t>
      </w:r>
      <w:r w:rsidR="00366794" w:rsidRPr="005B57B7">
        <w:rPr>
          <w:rFonts w:ascii="Arial" w:hAnsi="Arial" w:cs="Arial"/>
          <w:sz w:val="18"/>
          <w:szCs w:val="18"/>
          <w:lang w:val="es-ES"/>
        </w:rPr>
        <w:t xml:space="preserve"> o el BID lleguen a tener conocimiento de algún incumplimiento de hecho por parte de cualquier sub-prestatario</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lastRenderedPageBreak/>
        <w:t>2</w:t>
      </w:r>
      <w:r w:rsidRPr="005B57B7">
        <w:rPr>
          <w:rFonts w:ascii="Arial" w:eastAsia="Calibri" w:hAnsi="Arial" w:cs="Arial"/>
          <w:color w:val="000000"/>
          <w:sz w:val="18"/>
          <w:szCs w:val="18"/>
          <w:lang w:val="es-ES"/>
        </w:rPr>
        <w:t xml:space="preserve"> No se aplica a los patrocinadores de proyectos que no estén sustancialmente involucrados en estas actividades. “No sustancialmente involucrados” significa que la actividad en cuestión es secundaria a las operaciones principales del patrocinador del proyecto.</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 xml:space="preserve">3 </w:t>
      </w:r>
      <w:r w:rsidRPr="005B57B7">
        <w:rPr>
          <w:rFonts w:ascii="Arial" w:eastAsia="Calibri" w:hAnsi="Arial" w:cs="Arial"/>
          <w:color w:val="000000"/>
          <w:sz w:val="18"/>
          <w:szCs w:val="18"/>
          <w:lang w:val="es-ES"/>
        </w:rPr>
        <w:t xml:space="preserve">Véase </w:t>
      </w:r>
      <w:r w:rsidRPr="005B57B7">
        <w:rPr>
          <w:rFonts w:ascii="Arial" w:eastAsia="Calibri" w:hAnsi="Arial" w:cs="Arial"/>
          <w:color w:val="0000FF"/>
          <w:sz w:val="18"/>
          <w:szCs w:val="18"/>
          <w:lang w:val="es-ES"/>
        </w:rPr>
        <w:t>www.cites.org</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4</w:t>
      </w:r>
      <w:r w:rsidRPr="005B57B7">
        <w:rPr>
          <w:rFonts w:ascii="Arial" w:eastAsia="Calibri" w:hAnsi="Arial" w:cs="Arial"/>
          <w:color w:val="000000"/>
          <w:sz w:val="18"/>
          <w:szCs w:val="18"/>
          <w:lang w:val="es-ES"/>
        </w:rPr>
        <w:t xml:space="preserve"> No se aplica a la compra de equipo médico, equipos de control de calidad (medición) ni otros equipos en los que pueda demostrarse que la fuente radiactiva es insignificante y/o se encuentra debidamente revestida.</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5</w:t>
      </w:r>
      <w:r w:rsidRPr="005B57B7">
        <w:rPr>
          <w:rFonts w:ascii="Arial" w:eastAsia="Calibri" w:hAnsi="Arial" w:cs="Arial"/>
          <w:color w:val="000000"/>
          <w:sz w:val="18"/>
          <w:szCs w:val="18"/>
          <w:lang w:val="es-ES"/>
        </w:rPr>
        <w:t xml:space="preserve"> No se aplica a la compra y uso de fibrocemento de amianto aglutinado en el cual el contenido de amianto sea &lt;20%.</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75332B">
        <w:rPr>
          <w:rFonts w:ascii="Arial" w:eastAsia="Calibri" w:hAnsi="Arial" w:cs="Arial"/>
          <w:color w:val="000000"/>
          <w:sz w:val="18"/>
          <w:szCs w:val="18"/>
          <w:vertAlign w:val="superscript"/>
        </w:rPr>
        <w:t>6</w:t>
      </w:r>
      <w:r w:rsidRPr="0075332B">
        <w:rPr>
          <w:rFonts w:ascii="Arial" w:eastAsia="Calibri" w:hAnsi="Arial" w:cs="Arial"/>
          <w:color w:val="000000"/>
          <w:sz w:val="18"/>
          <w:szCs w:val="18"/>
        </w:rPr>
        <w:t xml:space="preserve"> Productos farmacéuticos sujetos a eliminación gradual o prohibición en Naciones Unidas, </w:t>
      </w:r>
      <w:r w:rsidRPr="0075332B">
        <w:rPr>
          <w:rFonts w:ascii="Arial" w:eastAsia="Calibri" w:hAnsi="Arial" w:cs="Arial"/>
          <w:i/>
          <w:iCs/>
          <w:color w:val="000000"/>
          <w:sz w:val="18"/>
          <w:szCs w:val="18"/>
        </w:rPr>
        <w:t>Banned Products</w:t>
      </w:r>
      <w:r w:rsidRPr="0075332B">
        <w:rPr>
          <w:rFonts w:ascii="Arial" w:eastAsia="Calibri" w:hAnsi="Arial" w:cs="Arial"/>
          <w:color w:val="000000"/>
          <w:sz w:val="18"/>
          <w:szCs w:val="18"/>
        </w:rPr>
        <w:t xml:space="preserve">: </w:t>
      </w:r>
      <w:r w:rsidRPr="0075332B">
        <w:rPr>
          <w:rFonts w:ascii="Arial" w:eastAsia="Calibri" w:hAnsi="Arial" w:cs="Arial"/>
          <w:i/>
          <w:iCs/>
          <w:color w:val="000000"/>
          <w:sz w:val="18"/>
          <w:szCs w:val="18"/>
        </w:rPr>
        <w:t>Consolidated List of Products Whose Consumption and/or Sale Have Been Banned, Withdrawn,</w:t>
      </w:r>
      <w:r w:rsidR="004B7D41" w:rsidRPr="0075332B">
        <w:rPr>
          <w:rFonts w:ascii="Arial" w:eastAsia="Calibri" w:hAnsi="Arial" w:cs="Arial"/>
          <w:i/>
          <w:iCs/>
          <w:color w:val="000000"/>
          <w:sz w:val="18"/>
          <w:szCs w:val="18"/>
        </w:rPr>
        <w:t xml:space="preserve"> </w:t>
      </w:r>
      <w:r w:rsidRPr="0075332B">
        <w:rPr>
          <w:rFonts w:ascii="Arial" w:eastAsia="Calibri" w:hAnsi="Arial" w:cs="Arial"/>
          <w:i/>
          <w:iCs/>
          <w:color w:val="000000"/>
          <w:sz w:val="18"/>
          <w:szCs w:val="18"/>
        </w:rPr>
        <w:t>Severely Restricted or not Approved by Governments</w:t>
      </w:r>
      <w:r w:rsidRPr="0075332B">
        <w:rPr>
          <w:rFonts w:ascii="Arial" w:eastAsia="Calibri" w:hAnsi="Arial" w:cs="Arial"/>
          <w:color w:val="000000"/>
          <w:sz w:val="18"/>
          <w:szCs w:val="18"/>
        </w:rPr>
        <w:t xml:space="preserve">. </w:t>
      </w:r>
      <w:r w:rsidRPr="005B57B7">
        <w:rPr>
          <w:rFonts w:ascii="Arial" w:eastAsia="Calibri" w:hAnsi="Arial" w:cs="Arial"/>
          <w:color w:val="000000"/>
          <w:sz w:val="18"/>
          <w:szCs w:val="18"/>
          <w:lang w:val="es-ES"/>
        </w:rPr>
        <w:t>(Última versión 2001,</w:t>
      </w:r>
      <w:r w:rsidR="004B7D41" w:rsidRPr="005B57B7">
        <w:rPr>
          <w:rFonts w:ascii="Arial" w:eastAsia="Calibri" w:hAnsi="Arial" w:cs="Arial"/>
          <w:color w:val="000000"/>
          <w:sz w:val="18"/>
          <w:szCs w:val="18"/>
          <w:lang w:val="es-ES"/>
        </w:rPr>
        <w:t xml:space="preserve"> </w:t>
      </w:r>
      <w:r w:rsidRPr="005B57B7">
        <w:rPr>
          <w:rFonts w:ascii="Arial" w:eastAsia="Calibri" w:hAnsi="Arial" w:cs="Arial"/>
          <w:color w:val="0000FF"/>
          <w:sz w:val="18"/>
          <w:szCs w:val="18"/>
          <w:lang w:val="es-ES"/>
        </w:rPr>
        <w:t xml:space="preserve">www.who.int/medicines/library/qsm/edm-qsm-2001-3/edm-qsm-2001_3.pdf </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7</w:t>
      </w:r>
      <w:r w:rsidRPr="005B57B7">
        <w:rPr>
          <w:rFonts w:ascii="Arial" w:eastAsia="Calibri" w:hAnsi="Arial" w:cs="Arial"/>
          <w:color w:val="000000"/>
          <w:sz w:val="18"/>
          <w:szCs w:val="18"/>
          <w:lang w:val="es-ES"/>
        </w:rPr>
        <w:t xml:space="preserve"> Pesticidas y herbicidas sujetos a eliminación gradual o prohibición incluidos en los Convenios de</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lang w:val="es-ES"/>
        </w:rPr>
        <w:t>Rotterdam (</w:t>
      </w:r>
      <w:r w:rsidRPr="005B57B7">
        <w:rPr>
          <w:rFonts w:ascii="Arial" w:eastAsia="Calibri" w:hAnsi="Arial" w:cs="Arial"/>
          <w:color w:val="0000FF"/>
          <w:sz w:val="18"/>
          <w:szCs w:val="18"/>
          <w:lang w:val="es-ES"/>
        </w:rPr>
        <w:t xml:space="preserve">www.pic.int </w:t>
      </w:r>
      <w:r w:rsidRPr="005B57B7">
        <w:rPr>
          <w:rFonts w:ascii="Arial" w:eastAsia="Calibri" w:hAnsi="Arial" w:cs="Arial"/>
          <w:color w:val="000000"/>
          <w:sz w:val="18"/>
          <w:szCs w:val="18"/>
          <w:lang w:val="es-ES"/>
        </w:rPr>
        <w:t>) y de Estocolmo (</w:t>
      </w:r>
      <w:r w:rsidRPr="005B57B7">
        <w:rPr>
          <w:rFonts w:ascii="Arial" w:eastAsia="Calibri" w:hAnsi="Arial" w:cs="Arial"/>
          <w:color w:val="0000FF"/>
          <w:sz w:val="18"/>
          <w:szCs w:val="18"/>
          <w:lang w:val="es-ES"/>
        </w:rPr>
        <w:t xml:space="preserve">www.pops.int </w:t>
      </w:r>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8</w:t>
      </w:r>
      <w:r w:rsidRPr="005B57B7">
        <w:rPr>
          <w:rFonts w:ascii="Arial" w:eastAsia="Calibri" w:hAnsi="Arial" w:cs="Arial"/>
          <w:color w:val="000000"/>
          <w:sz w:val="18"/>
          <w:szCs w:val="18"/>
          <w:lang w:val="es-ES"/>
        </w:rPr>
        <w:t xml:space="preserve"> Las sustancias que agotan la capa de ozono son compuestos químicos que reaccionan con el ozono estratosférico y lo agotan, lo que da como resultado los ampliamente difundidos “agujeros de ozono”. El Protocolo de Montreal enumera dichas sustancias y sus fechas previstas de reducción y eliminación gradual. Los compuestos químicos reglamentados por el referido protocolo incluyen los aerosoles, refrigerantes, agentes sopladores para espumas, solventes y agentes extintores de fuego </w:t>
      </w:r>
      <w:r w:rsidR="004B7D41" w:rsidRPr="005B57B7">
        <w:rPr>
          <w:rFonts w:ascii="Arial" w:eastAsia="Calibri" w:hAnsi="Arial" w:cs="Arial"/>
          <w:color w:val="000000"/>
          <w:sz w:val="18"/>
          <w:szCs w:val="18"/>
          <w:lang w:val="es-ES"/>
        </w:rPr>
        <w:t>(</w:t>
      </w:r>
      <w:hyperlink r:id="rId14" w:history="1">
        <w:r w:rsidRPr="005B57B7">
          <w:rPr>
            <w:rFonts w:ascii="Arial" w:eastAsia="Calibri" w:hAnsi="Arial" w:cs="Arial"/>
            <w:color w:val="0000FF"/>
            <w:sz w:val="18"/>
            <w:szCs w:val="18"/>
            <w:u w:val="single"/>
            <w:lang w:val="es-ES"/>
          </w:rPr>
          <w:t>www.unep.org/ozone/montreal.shtml</w:t>
        </w:r>
      </w:hyperlink>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 xml:space="preserve">9 </w:t>
      </w:r>
      <w:r w:rsidRPr="005B57B7">
        <w:rPr>
          <w:rFonts w:ascii="Arial" w:eastAsia="Calibri" w:hAnsi="Arial" w:cs="Arial"/>
          <w:color w:val="000000"/>
          <w:sz w:val="18"/>
          <w:szCs w:val="18"/>
          <w:lang w:val="es-ES"/>
        </w:rPr>
        <w:t>Definidos por el Convenio de Basilea (</w:t>
      </w:r>
      <w:hyperlink r:id="rId15" w:history="1">
        <w:r w:rsidRPr="005B57B7">
          <w:rPr>
            <w:rFonts w:ascii="Arial" w:eastAsia="Calibri" w:hAnsi="Arial" w:cs="Arial"/>
            <w:color w:val="0000FF"/>
            <w:sz w:val="18"/>
            <w:szCs w:val="18"/>
            <w:u w:val="single"/>
            <w:lang w:val="es-ES"/>
          </w:rPr>
          <w:t>www.basel.int</w:t>
        </w:r>
      </w:hyperlink>
      <w:r w:rsidRPr="005B57B7">
        <w:rPr>
          <w:rFonts w:ascii="Arial" w:eastAsia="Calibri" w:hAnsi="Arial" w:cs="Arial"/>
          <w:color w:val="000000"/>
          <w:sz w:val="18"/>
          <w:szCs w:val="18"/>
          <w:lang w:val="es-ES"/>
        </w:rPr>
        <w:t>).</w:t>
      </w:r>
    </w:p>
    <w:p w:rsidR="00A75652" w:rsidRPr="005B57B7" w:rsidRDefault="00A75652" w:rsidP="00F736FC">
      <w:pPr>
        <w:autoSpaceDE w:val="0"/>
        <w:autoSpaceDN w:val="0"/>
        <w:adjustRightInd w:val="0"/>
        <w:jc w:val="both"/>
        <w:rPr>
          <w:rFonts w:ascii="Arial" w:eastAsia="Calibri" w:hAnsi="Arial" w:cs="Arial"/>
          <w:color w:val="000000"/>
          <w:sz w:val="18"/>
          <w:szCs w:val="18"/>
          <w:lang w:val="es-ES"/>
        </w:rPr>
      </w:pPr>
      <w:r w:rsidRPr="005B57B7">
        <w:rPr>
          <w:rFonts w:ascii="Arial" w:eastAsia="Calibri" w:hAnsi="Arial" w:cs="Arial"/>
          <w:color w:val="000000"/>
          <w:sz w:val="18"/>
          <w:szCs w:val="18"/>
          <w:vertAlign w:val="superscript"/>
          <w:lang w:val="es-ES"/>
        </w:rPr>
        <w:t>10</w:t>
      </w:r>
      <w:r w:rsidRPr="005B57B7">
        <w:rPr>
          <w:rFonts w:ascii="Arial" w:eastAsia="Calibri" w:hAnsi="Arial" w:cs="Arial"/>
          <w:color w:val="000000"/>
          <w:sz w:val="18"/>
          <w:szCs w:val="18"/>
          <w:lang w:val="es-ES"/>
        </w:rPr>
        <w:t xml:space="preserve"> Definidos por el Convenio Internacional sobre reducción y eliminación de contaminantes orgánicos persistentes (de septiembre de 1999) que actualmente incluye los pesticidas aldrina, clordano, dieldrina, endrina, heptacloro, mirex y toxafeno, así como los clorobencenos químicos de uso industrial (</w:t>
      </w:r>
      <w:r w:rsidRPr="005B57B7">
        <w:rPr>
          <w:rFonts w:ascii="Arial" w:eastAsia="Calibri" w:hAnsi="Arial" w:cs="Arial"/>
          <w:color w:val="0000FF"/>
          <w:sz w:val="18"/>
          <w:szCs w:val="18"/>
          <w:lang w:val="es-ES"/>
        </w:rPr>
        <w:t xml:space="preserve">www.pops.int </w:t>
      </w:r>
      <w:r w:rsidRPr="005B57B7">
        <w:rPr>
          <w:rFonts w:ascii="Arial" w:eastAsia="Calibri" w:hAnsi="Arial" w:cs="Arial"/>
          <w:color w:val="000000"/>
          <w:sz w:val="18"/>
          <w:szCs w:val="18"/>
          <w:lang w:val="es-ES"/>
        </w:rPr>
        <w:t>).</w:t>
      </w:r>
    </w:p>
    <w:p w:rsidR="00A75652" w:rsidRPr="00AF69E0" w:rsidRDefault="00A75652" w:rsidP="00F736FC">
      <w:pPr>
        <w:autoSpaceDE w:val="0"/>
        <w:autoSpaceDN w:val="0"/>
        <w:adjustRightInd w:val="0"/>
        <w:jc w:val="both"/>
        <w:rPr>
          <w:rFonts w:ascii="Arial" w:eastAsia="Calibri" w:hAnsi="Arial" w:cs="Arial"/>
          <w:sz w:val="18"/>
          <w:szCs w:val="18"/>
          <w:lang w:val="es-ES_tradnl"/>
        </w:rPr>
      </w:pPr>
      <w:r w:rsidRPr="005B57B7">
        <w:rPr>
          <w:rFonts w:ascii="Arial" w:eastAsia="Calibri" w:hAnsi="Arial" w:cs="Arial"/>
          <w:color w:val="000000"/>
          <w:sz w:val="18"/>
          <w:szCs w:val="18"/>
          <w:vertAlign w:val="superscript"/>
          <w:lang w:val="es-ES"/>
        </w:rPr>
        <w:t>11</w:t>
      </w:r>
      <w:r w:rsidRPr="005B57B7">
        <w:rPr>
          <w:rFonts w:ascii="Arial" w:eastAsia="Calibri" w:hAnsi="Arial" w:cs="Arial"/>
          <w:color w:val="000000"/>
          <w:sz w:val="18"/>
          <w:szCs w:val="18"/>
          <w:lang w:val="es-ES"/>
        </w:rPr>
        <w:t xml:space="preserve"> Los Principios y Derechos Fundamentales en el Trabajo significan: i) la libertad de asociación y la libertad sindical y el reconocimiento efectivo del derecho de negociación colectiva; ii) la prohibición de todas las formas de trabajo forzoso u obligatorio; iii) la prohibición del trabajo infantil, incluida, sin que suponga limitación, la prohibición de que personas menores de 18 años trabajen en condiciones peligrosas (incluidas las actividades de construcción), realicen trabajos nocturnos y sean declaradas aptas para trabajar en base a un examen médico; y iv) la eliminación de la discriminación en materia de empleo y ocupación, en la cual la discriminación se define como cualquier diferencia, exclusión o preferencia basada en motivos de raza, color, sexo, religión, opinión política u origen nacional o social. </w:t>
      </w:r>
      <w:r w:rsidRPr="00AF69E0">
        <w:rPr>
          <w:rFonts w:ascii="Arial" w:eastAsia="Calibri" w:hAnsi="Arial" w:cs="Arial"/>
          <w:color w:val="000000"/>
          <w:sz w:val="18"/>
          <w:szCs w:val="18"/>
          <w:lang w:val="es-ES_tradnl"/>
        </w:rPr>
        <w:t>(Organización Internacional del Trabajo,</w:t>
      </w:r>
      <w:r w:rsidRPr="00AF69E0">
        <w:rPr>
          <w:rFonts w:ascii="Arial" w:eastAsia="Calibri" w:hAnsi="Arial" w:cs="Arial"/>
          <w:color w:val="0000FF"/>
          <w:sz w:val="18"/>
          <w:szCs w:val="18"/>
          <w:lang w:val="es-ES_tradnl"/>
        </w:rPr>
        <w:t xml:space="preserve"> www.ilo.org</w:t>
      </w:r>
      <w:r w:rsidRPr="00AF69E0">
        <w:rPr>
          <w:rFonts w:ascii="Arial" w:eastAsia="Calibri" w:hAnsi="Arial" w:cs="Arial"/>
          <w:color w:val="000000"/>
          <w:sz w:val="18"/>
          <w:szCs w:val="18"/>
          <w:lang w:val="es-ES_tradnl"/>
        </w:rPr>
        <w:t>).</w:t>
      </w:r>
    </w:p>
    <w:p w:rsidR="00A75652" w:rsidRPr="00AF69E0" w:rsidRDefault="00A75652">
      <w:pPr>
        <w:rPr>
          <w:rFonts w:ascii="Arial" w:hAnsi="Arial" w:cs="Arial"/>
          <w:b/>
          <w:bCs/>
          <w:sz w:val="32"/>
          <w:szCs w:val="32"/>
          <w:lang w:val="es-ES_tradnl"/>
        </w:rPr>
      </w:pPr>
    </w:p>
    <w:p w:rsidR="00355476" w:rsidRPr="00AF69E0" w:rsidRDefault="00355476">
      <w:pPr>
        <w:rPr>
          <w:rFonts w:ascii="Arial" w:hAnsi="Arial" w:cs="Arial"/>
          <w:b/>
          <w:bCs/>
          <w:sz w:val="32"/>
          <w:szCs w:val="32"/>
          <w:lang w:val="es-ES_tradnl"/>
        </w:rPr>
      </w:pPr>
    </w:p>
    <w:p w:rsidR="00355476" w:rsidRPr="003E0A91" w:rsidRDefault="007A7948" w:rsidP="00376DFF">
      <w:pPr>
        <w:pStyle w:val="Heading3"/>
        <w:numPr>
          <w:ilvl w:val="0"/>
          <w:numId w:val="0"/>
        </w:numPr>
        <w:spacing w:before="0"/>
        <w:ind w:left="2160" w:hanging="2160"/>
        <w:jc w:val="center"/>
        <w:rPr>
          <w:b w:val="0"/>
          <w:bCs w:val="0"/>
          <w:sz w:val="32"/>
          <w:szCs w:val="32"/>
          <w:lang w:val="es-ES_tradnl"/>
        </w:rPr>
      </w:pPr>
      <w:r w:rsidRPr="003E0A91">
        <w:rPr>
          <w:b w:val="0"/>
          <w:bCs w:val="0"/>
          <w:sz w:val="32"/>
          <w:szCs w:val="32"/>
          <w:lang w:val="es-ES_tradnl"/>
        </w:rPr>
        <w:br w:type="page"/>
      </w:r>
      <w:bookmarkStart w:id="100" w:name="_Toc431307138"/>
      <w:r w:rsidR="00376DFF" w:rsidRPr="00376DFF">
        <w:rPr>
          <w:bCs w:val="0"/>
          <w:sz w:val="32"/>
          <w:szCs w:val="32"/>
          <w:lang w:val="es-ES_tradnl"/>
        </w:rPr>
        <w:lastRenderedPageBreak/>
        <w:t>ANEXO 3</w:t>
      </w:r>
      <w:r w:rsidRPr="003E0A91">
        <w:rPr>
          <w:b w:val="0"/>
          <w:bCs w:val="0"/>
          <w:sz w:val="32"/>
          <w:szCs w:val="32"/>
          <w:lang w:val="es-ES_tradnl"/>
        </w:rPr>
        <w:t xml:space="preserve"> - </w:t>
      </w:r>
      <w:r w:rsidR="003E0A91" w:rsidRPr="00376DFF">
        <w:rPr>
          <w:sz w:val="28"/>
          <w:szCs w:val="32"/>
          <w:lang w:val="es-ES_tradnl"/>
        </w:rPr>
        <w:t>Áreas de alto valor de conservación en Colombia</w:t>
      </w:r>
      <w:r w:rsidR="003E0A91" w:rsidRPr="00376DFF">
        <w:rPr>
          <w:b w:val="0"/>
          <w:lang w:val="es-ES_tradnl"/>
        </w:rPr>
        <w:t xml:space="preserve"> </w:t>
      </w:r>
      <w:r w:rsidR="003E0A91" w:rsidRPr="00376DFF">
        <w:rPr>
          <w:sz w:val="28"/>
          <w:szCs w:val="32"/>
          <w:lang w:val="es-ES_tradnl"/>
        </w:rPr>
        <w:t>(exclusión de sub-proyectos dentro de estas áreas)</w:t>
      </w:r>
      <w:bookmarkEnd w:id="100"/>
    </w:p>
    <w:p w:rsidR="00355476" w:rsidRPr="003E0A91" w:rsidRDefault="00355476">
      <w:pPr>
        <w:rPr>
          <w:rFonts w:ascii="Arial" w:hAnsi="Arial" w:cs="Arial"/>
          <w:b/>
          <w:bCs/>
          <w:sz w:val="32"/>
          <w:szCs w:val="32"/>
          <w:lang w:val="es-ES_tradnl"/>
        </w:rPr>
      </w:pPr>
    </w:p>
    <w:p w:rsidR="00355476" w:rsidRPr="005B57B7" w:rsidRDefault="007A7948">
      <w:pPr>
        <w:rPr>
          <w:rFonts w:ascii="Arial" w:hAnsi="Arial" w:cs="Arial"/>
          <w:b/>
          <w:bCs/>
          <w:sz w:val="32"/>
          <w:szCs w:val="32"/>
          <w:lang w:val="es-ES"/>
        </w:rPr>
      </w:pPr>
      <w:r w:rsidRPr="005B57B7">
        <w:rPr>
          <w:rFonts w:ascii="Arial" w:hAnsi="Arial" w:cs="Arial"/>
          <w:noProof/>
        </w:rPr>
        <w:drawing>
          <wp:inline distT="0" distB="0" distL="0" distR="0" wp14:anchorId="54910B6B" wp14:editId="5B6FFA5C">
            <wp:extent cx="5407665" cy="7534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7665" cy="7534275"/>
                    </a:xfrm>
                    <a:prstGeom prst="rect">
                      <a:avLst/>
                    </a:prstGeom>
                  </pic:spPr>
                </pic:pic>
              </a:graphicData>
            </a:graphic>
          </wp:inline>
        </w:drawing>
      </w:r>
    </w:p>
    <w:p w:rsidR="00355476" w:rsidRPr="005B57B7" w:rsidRDefault="00355476">
      <w:pPr>
        <w:rPr>
          <w:rFonts w:ascii="Arial" w:hAnsi="Arial" w:cs="Arial"/>
          <w:b/>
          <w:bCs/>
          <w:sz w:val="32"/>
          <w:szCs w:val="32"/>
          <w:lang w:val="es-ES"/>
        </w:rPr>
      </w:pPr>
    </w:p>
    <w:p w:rsidR="00366794" w:rsidRPr="005B57B7" w:rsidRDefault="00366794" w:rsidP="00660841">
      <w:pPr>
        <w:pStyle w:val="Heading3"/>
        <w:numPr>
          <w:ilvl w:val="0"/>
          <w:numId w:val="0"/>
        </w:numPr>
        <w:spacing w:before="0"/>
        <w:ind w:left="2160" w:hanging="2160"/>
        <w:jc w:val="center"/>
        <w:rPr>
          <w:rFonts w:eastAsia="Calibri"/>
          <w:sz w:val="22"/>
          <w:szCs w:val="22"/>
          <w:lang w:val="es-ES"/>
        </w:rPr>
        <w:sectPr w:rsidR="00366794" w:rsidRPr="005B57B7" w:rsidSect="00344ADF">
          <w:pgSz w:w="11906" w:h="16838"/>
          <w:pgMar w:top="1417" w:right="1646" w:bottom="1260" w:left="1701" w:header="708" w:footer="708" w:gutter="0"/>
          <w:pgNumType w:start="1"/>
          <w:cols w:space="708"/>
          <w:docGrid w:linePitch="360"/>
        </w:sectPr>
      </w:pPr>
      <w:bookmarkStart w:id="101" w:name="_Toc217379138"/>
    </w:p>
    <w:p w:rsidR="003E0A91" w:rsidRPr="001E4DE6" w:rsidRDefault="003E0A91" w:rsidP="004B0E2A">
      <w:pPr>
        <w:pStyle w:val="Heading3"/>
        <w:numPr>
          <w:ilvl w:val="0"/>
          <w:numId w:val="0"/>
        </w:numPr>
        <w:spacing w:before="0"/>
        <w:ind w:left="2160" w:hanging="2160"/>
        <w:jc w:val="center"/>
        <w:rPr>
          <w:sz w:val="32"/>
          <w:szCs w:val="32"/>
          <w:lang w:val="es-ES"/>
        </w:rPr>
      </w:pPr>
      <w:bookmarkStart w:id="102" w:name="_Toc431307139"/>
      <w:r w:rsidRPr="001E4DE6">
        <w:rPr>
          <w:sz w:val="32"/>
          <w:szCs w:val="32"/>
          <w:lang w:val="es-ES"/>
        </w:rPr>
        <w:lastRenderedPageBreak/>
        <w:t xml:space="preserve">ANEXO 4 - </w:t>
      </w:r>
      <w:r w:rsidR="001E4DE6" w:rsidRPr="001E4DE6">
        <w:rPr>
          <w:lang w:val="es-ES_tradnl"/>
        </w:rPr>
        <w:t>Legislación colombiana - Permisos ambientales</w:t>
      </w:r>
      <w:bookmarkEnd w:id="102"/>
      <w:r w:rsidR="001E4DE6" w:rsidRPr="001E4DE6">
        <w:rPr>
          <w:sz w:val="28"/>
          <w:szCs w:val="32"/>
          <w:lang w:val="es-ES"/>
        </w:rPr>
        <w:t xml:space="preserve"> </w:t>
      </w:r>
    </w:p>
    <w:p w:rsidR="003E0A91" w:rsidRPr="001E4DE6" w:rsidRDefault="003E0A91" w:rsidP="003E0A91">
      <w:pPr>
        <w:tabs>
          <w:tab w:val="left" w:pos="810"/>
        </w:tabs>
        <w:suppressAutoHyphens/>
        <w:autoSpaceDN w:val="0"/>
        <w:spacing w:before="120" w:after="120"/>
        <w:ind w:left="360"/>
        <w:jc w:val="both"/>
        <w:textAlignment w:val="baseline"/>
        <w:outlineLvl w:val="1"/>
        <w:rPr>
          <w:rFonts w:ascii="Arial" w:hAnsi="Arial" w:cs="Arial"/>
          <w:b/>
          <w:lang w:val="es-ES_tradnl"/>
        </w:rPr>
      </w:pPr>
      <w:bookmarkStart w:id="103" w:name="_Toc430353142"/>
      <w:bookmarkStart w:id="104" w:name="_Toc430353511"/>
      <w:bookmarkStart w:id="105" w:name="_Toc431307140"/>
      <w:r w:rsidRPr="001E4DE6">
        <w:rPr>
          <w:rFonts w:ascii="Arial" w:hAnsi="Arial" w:cs="Arial"/>
          <w:b/>
          <w:lang w:val="es-ES_tradnl"/>
        </w:rPr>
        <w:t>1. Permisos aplicables</w:t>
      </w:r>
      <w:bookmarkEnd w:id="103"/>
      <w:bookmarkEnd w:id="104"/>
      <w:bookmarkEnd w:id="105"/>
    </w:p>
    <w:p w:rsidR="003E0A91" w:rsidRPr="00952B75" w:rsidRDefault="003E0A91" w:rsidP="003E0A91">
      <w:pPr>
        <w:pStyle w:val="EndnoteText"/>
        <w:rPr>
          <w:rFonts w:ascii="Arial" w:hAnsi="Arial" w:cs="Arial"/>
          <w:sz w:val="22"/>
          <w:szCs w:val="22"/>
          <w:lang w:val="es-ES_tradnl"/>
        </w:rPr>
      </w:pPr>
      <w:r w:rsidRPr="001E4DE6">
        <w:rPr>
          <w:rFonts w:ascii="Arial" w:hAnsi="Arial" w:cs="Arial"/>
          <w:sz w:val="22"/>
          <w:szCs w:val="22"/>
          <w:lang w:val="es-ES_tradnl"/>
        </w:rPr>
        <w:t>Además, la legislación exige la concesión de permisos a actividades que, por lo general, no están relacionadas con proyectos de energía (por ejemplo, el comercio de especies en peligro de extinción</w:t>
      </w:r>
      <w:r w:rsidRPr="00952B75">
        <w:rPr>
          <w:rFonts w:ascii="Arial" w:hAnsi="Arial" w:cs="Arial"/>
          <w:sz w:val="22"/>
          <w:szCs w:val="22"/>
          <w:lang w:val="es-ES_tradnl"/>
        </w:rPr>
        <w:t>, la caza y la investigación científica sobre reservas naturales).</w:t>
      </w:r>
    </w:p>
    <w:tbl>
      <w:tblPr>
        <w:tblStyle w:val="TableGrid1"/>
        <w:tblpPr w:leftFromText="141" w:rightFromText="141" w:vertAnchor="page" w:horzAnchor="margin" w:tblpY="4448"/>
        <w:tblW w:w="8478" w:type="dxa"/>
        <w:shd w:val="clear" w:color="auto" w:fill="E6E6E6"/>
        <w:tblLook w:val="04A0" w:firstRow="1" w:lastRow="0" w:firstColumn="1" w:lastColumn="0" w:noHBand="0" w:noVBand="1"/>
      </w:tblPr>
      <w:tblGrid>
        <w:gridCol w:w="4390"/>
        <w:gridCol w:w="4088"/>
      </w:tblGrid>
      <w:tr w:rsidR="003E0A91" w:rsidRPr="00952B75" w:rsidTr="003E0A91">
        <w:trPr>
          <w:trHeight w:val="355"/>
        </w:trPr>
        <w:tc>
          <w:tcPr>
            <w:tcW w:w="4390" w:type="dxa"/>
            <w:shd w:val="clear" w:color="auto" w:fill="E6E6E6"/>
            <w:vAlign w:val="center"/>
          </w:tcPr>
          <w:p w:rsidR="003E0A91" w:rsidRPr="00952B75" w:rsidRDefault="003E0A91" w:rsidP="003E0A91">
            <w:pPr>
              <w:ind w:left="30"/>
              <w:rPr>
                <w:rFonts w:ascii="Arial" w:hAnsi="Arial" w:cs="Arial"/>
                <w:b/>
                <w:lang w:val="es-ES_tradnl"/>
              </w:rPr>
            </w:pPr>
            <w:r w:rsidRPr="00952B75">
              <w:rPr>
                <w:rFonts w:ascii="Arial" w:hAnsi="Arial" w:cs="Arial"/>
                <w:b/>
                <w:lang w:val="es-ES_tradnl"/>
              </w:rPr>
              <w:t>Aplicabilidad</w:t>
            </w:r>
          </w:p>
        </w:tc>
        <w:tc>
          <w:tcPr>
            <w:tcW w:w="4088" w:type="dxa"/>
            <w:shd w:val="clear" w:color="auto" w:fill="E6E6E6"/>
            <w:vAlign w:val="center"/>
          </w:tcPr>
          <w:p w:rsidR="003E0A91" w:rsidRPr="00952B75" w:rsidRDefault="003E0A91" w:rsidP="003E0A91">
            <w:pPr>
              <w:ind w:left="30"/>
              <w:rPr>
                <w:rFonts w:ascii="Arial" w:hAnsi="Arial" w:cs="Arial"/>
                <w:b/>
                <w:lang w:val="es-ES_tradnl"/>
              </w:rPr>
            </w:pPr>
            <w:r w:rsidRPr="00952B75">
              <w:rPr>
                <w:rFonts w:ascii="Arial" w:hAnsi="Arial" w:cs="Arial"/>
                <w:b/>
                <w:lang w:val="es-ES_tradnl"/>
              </w:rPr>
              <w:t>Fuente</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 xml:space="preserve">Drenaje de aguas superficiales, incluido el almacenamiento de agua pluvial y agua pública </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(“Concesión de aguas superficiales”)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w:t>
            </w:r>
            <w:r w:rsidRPr="00952B75">
              <w:rPr>
                <w:rStyle w:val="EndnoteReference"/>
                <w:rFonts w:ascii="Arial" w:hAnsi="Arial" w:cs="Arial"/>
                <w:lang w:val="es-ES_tradnl"/>
              </w:rPr>
              <w:endnoteReference w:id="2"/>
            </w:r>
            <w:r w:rsidRPr="00952B75">
              <w:rPr>
                <w:rFonts w:ascii="Arial" w:hAnsi="Arial" w:cs="Arial"/>
                <w:lang w:val="es-ES_tradnl"/>
              </w:rPr>
              <w:t>, art. 2.2, 2.2.3.2.5.3., 2.2.3.2.16.2.</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Ocupación de ríos (canal y lechos de los ríos)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(“Ocupación de cauces”)</w:t>
            </w:r>
          </w:p>
        </w:tc>
        <w:tc>
          <w:tcPr>
            <w:tcW w:w="4088" w:type="dxa"/>
          </w:tcPr>
          <w:p w:rsidR="003E0A91" w:rsidRPr="00952B75" w:rsidRDefault="003E0A91" w:rsidP="003E0A91">
            <w:pPr>
              <w:pStyle w:val="Default"/>
              <w:rPr>
                <w:color w:val="auto"/>
                <w:sz w:val="22"/>
                <w:szCs w:val="22"/>
                <w:lang w:val="es-ES_tradnl"/>
              </w:rPr>
            </w:pPr>
            <w:r w:rsidRPr="00952B75">
              <w:rPr>
                <w:sz w:val="22"/>
                <w:szCs w:val="22"/>
                <w:lang w:val="es-ES_tradnl"/>
              </w:rPr>
              <w:t xml:space="preserve">Decreto </w:t>
            </w:r>
            <w:r w:rsidRPr="00952B75">
              <w:rPr>
                <w:color w:val="auto"/>
                <w:sz w:val="22"/>
                <w:szCs w:val="22"/>
                <w:lang w:val="es-ES_tradnl"/>
              </w:rPr>
              <w:t xml:space="preserve">1076/2015, art. </w:t>
            </w:r>
          </w:p>
          <w:p w:rsidR="003E0A91" w:rsidRPr="00952B75" w:rsidRDefault="003E0A91" w:rsidP="003E0A91">
            <w:pPr>
              <w:pStyle w:val="Default"/>
              <w:rPr>
                <w:color w:val="auto"/>
                <w:sz w:val="22"/>
                <w:szCs w:val="22"/>
                <w:lang w:val="es-ES_tradnl"/>
              </w:rPr>
            </w:pPr>
            <w:r w:rsidRPr="00952B75">
              <w:rPr>
                <w:color w:val="auto"/>
                <w:sz w:val="22"/>
                <w:szCs w:val="22"/>
                <w:lang w:val="es-ES_tradnl"/>
              </w:rPr>
              <w:t>2.2.3.3.5.8 y 2.2.2.3.5.1</w:t>
            </w:r>
          </w:p>
        </w:tc>
      </w:tr>
      <w:tr w:rsidR="003E0A91" w:rsidRPr="00952B75" w:rsidTr="003E0A91">
        <w:trPr>
          <w:trHeight w:val="680"/>
        </w:trPr>
        <w:tc>
          <w:tcPr>
            <w:tcW w:w="4390" w:type="dxa"/>
          </w:tcPr>
          <w:p w:rsidR="003E0A91" w:rsidRPr="00952B75" w:rsidRDefault="003E0A91" w:rsidP="003E0A91">
            <w:pPr>
              <w:rPr>
                <w:rFonts w:ascii="Arial" w:hAnsi="Arial" w:cs="Arial"/>
                <w:lang w:val="es-ES_tradnl" w:eastAsia="ja-JP"/>
              </w:rPr>
            </w:pPr>
            <w:r w:rsidRPr="00952B75">
              <w:rPr>
                <w:rFonts w:ascii="Arial" w:hAnsi="Arial" w:cs="Arial"/>
                <w:lang w:val="es-ES_tradnl" w:eastAsia="ja-JP"/>
              </w:rPr>
              <w:t>Uso de aguas subterráneas</w:t>
            </w:r>
          </w:p>
          <w:p w:rsidR="003E0A91" w:rsidRPr="00952B75" w:rsidRDefault="003E0A91" w:rsidP="003E0A91">
            <w:pPr>
              <w:rPr>
                <w:rFonts w:ascii="Arial" w:hAnsi="Arial" w:cs="Arial"/>
                <w:i/>
                <w:lang w:val="es-ES_tradnl" w:eastAsia="ja-JP"/>
              </w:rPr>
            </w:pPr>
            <w:r w:rsidRPr="00952B75">
              <w:rPr>
                <w:rFonts w:ascii="Arial" w:hAnsi="Arial" w:cs="Arial"/>
                <w:i/>
                <w:lang w:val="es-ES_tradnl" w:eastAsia="ja-JP"/>
              </w:rPr>
              <w:t>(“Permiso de prospección y explotación de aguas subterráneas”)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2.2.3.2.16.1, 2.2.3.2.16.4 y 2.2.3.2.1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 xml:space="preserve">Vertimiento de aguas </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vertimientos”)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2.2.3.2.20.2 y 2.2.3.3.5.1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Emisiones atmosféricas</w:t>
            </w:r>
          </w:p>
          <w:p w:rsidR="003E0A91" w:rsidRPr="00952B75" w:rsidRDefault="003E0A91" w:rsidP="003E0A91">
            <w:pPr>
              <w:ind w:left="30"/>
              <w:rPr>
                <w:rFonts w:ascii="Arial" w:hAnsi="Arial" w:cs="Arial"/>
                <w:i/>
                <w:lang w:val="es-ES_tradnl"/>
              </w:rPr>
            </w:pPr>
            <w:r w:rsidRPr="00952B75">
              <w:rPr>
                <w:rFonts w:ascii="Arial" w:hAnsi="Arial" w:cs="Arial"/>
                <w:i/>
                <w:lang w:val="es-ES_tradnl"/>
              </w:rPr>
              <w:t>(“Permiso de emisiones atmosféricas”)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2.2.5.1.2.11 y 2.2.5.1.7.1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Emisiones de ruido</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ruidos”)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2.2.5.1.7.17</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Aprovechamiento forestal</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aprovechamiento forestal”)</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2.2.1.1.17.10 y 2.2.1.1.5.3</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Aprovechamiento de árboles fuera de bosques naturales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aprovechamiento de árboles aislados de bosques naturales”)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2.2.1.1.9.1</w:t>
            </w:r>
          </w:p>
        </w:tc>
      </w:tr>
      <w:tr w:rsidR="003E0A91" w:rsidRPr="00952B75"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Tratamiento, almacenamiento y disposición de residuos peligrosos</w:t>
            </w:r>
          </w:p>
          <w:p w:rsidR="003E0A91" w:rsidRPr="00952B75" w:rsidRDefault="003E0A91" w:rsidP="003E0A91">
            <w:pPr>
              <w:ind w:left="30"/>
              <w:rPr>
                <w:rFonts w:ascii="Arial" w:hAnsi="Arial" w:cs="Arial"/>
                <w:i/>
                <w:lang w:val="es-ES_tradnl" w:eastAsia="ja-JP"/>
              </w:rPr>
            </w:pPr>
            <w:r w:rsidRPr="00952B75">
              <w:rPr>
                <w:rFonts w:ascii="Arial" w:hAnsi="Arial" w:cs="Arial"/>
                <w:i/>
                <w:lang w:val="es-ES_tradnl" w:eastAsia="ja-JP"/>
              </w:rPr>
              <w:t>(“Permiso de residuos peligrosos”)</w:t>
            </w:r>
          </w:p>
        </w:tc>
        <w:tc>
          <w:tcPr>
            <w:tcW w:w="4088" w:type="dxa"/>
          </w:tcPr>
          <w:p w:rsidR="003E0A91" w:rsidRPr="00952B75" w:rsidRDefault="003E0A91" w:rsidP="003E0A91">
            <w:pPr>
              <w:rPr>
                <w:rFonts w:ascii="Arial" w:hAnsi="Arial" w:cs="Arial"/>
                <w:lang w:val="es-ES_tradnl"/>
              </w:rPr>
            </w:pPr>
            <w:r w:rsidRPr="00952B75">
              <w:rPr>
                <w:rFonts w:ascii="Arial" w:hAnsi="Arial" w:cs="Arial"/>
                <w:lang w:val="es-ES_tradnl"/>
              </w:rPr>
              <w:t>Decreto 1076/2015, art. 2.2.6.1.2.1</w:t>
            </w:r>
          </w:p>
        </w:tc>
      </w:tr>
      <w:tr w:rsidR="003E0A91" w:rsidRPr="00080B2A" w:rsidTr="003E0A91">
        <w:trPr>
          <w:trHeight w:val="680"/>
        </w:trPr>
        <w:tc>
          <w:tcPr>
            <w:tcW w:w="4390" w:type="dxa"/>
          </w:tcPr>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Uso de recursos naturales en los parques de reservas naturales</w:t>
            </w:r>
          </w:p>
          <w:p w:rsidR="003E0A91" w:rsidRPr="00952B75" w:rsidRDefault="003E0A91" w:rsidP="003E0A91">
            <w:pPr>
              <w:ind w:left="30"/>
              <w:rPr>
                <w:rFonts w:ascii="Arial" w:hAnsi="Arial" w:cs="Arial"/>
                <w:lang w:val="es-ES_tradnl" w:eastAsia="ja-JP"/>
              </w:rPr>
            </w:pPr>
            <w:r w:rsidRPr="00952B75">
              <w:rPr>
                <w:rFonts w:ascii="Arial" w:hAnsi="Arial" w:cs="Arial"/>
                <w:lang w:val="es-ES_tradnl" w:eastAsia="ja-JP"/>
              </w:rPr>
              <w:t>(</w:t>
            </w:r>
            <w:r w:rsidRPr="00952B75">
              <w:rPr>
                <w:rFonts w:ascii="Arial" w:hAnsi="Arial" w:cs="Arial"/>
                <w:i/>
                <w:lang w:val="es-ES_tradnl" w:eastAsia="ja-JP"/>
              </w:rPr>
              <w:t>“Permiso de uso y aprovechamiento de los recursos naturales renovables”)</w:t>
            </w:r>
          </w:p>
        </w:tc>
        <w:tc>
          <w:tcPr>
            <w:tcW w:w="4088" w:type="dxa"/>
          </w:tcPr>
          <w:p w:rsidR="003E0A91" w:rsidRPr="00952B75" w:rsidRDefault="003E0A91" w:rsidP="003E0A91">
            <w:pPr>
              <w:autoSpaceDE w:val="0"/>
              <w:autoSpaceDN w:val="0"/>
              <w:adjustRightInd w:val="0"/>
              <w:rPr>
                <w:rFonts w:ascii="Arial" w:hAnsi="Arial" w:cs="Arial"/>
                <w:lang w:val="es-ES_tradnl"/>
              </w:rPr>
            </w:pPr>
            <w:r w:rsidRPr="00952B75">
              <w:rPr>
                <w:rFonts w:ascii="Arial" w:hAnsi="Arial" w:cs="Arial"/>
                <w:lang w:val="es-ES_tradnl"/>
              </w:rPr>
              <w:t>Decreto 1076/2015, art. 1.1.2.1.1</w:t>
            </w:r>
          </w:p>
          <w:p w:rsidR="003E0A91" w:rsidRPr="00952B75" w:rsidRDefault="003E0A91" w:rsidP="003E0A91">
            <w:pPr>
              <w:autoSpaceDE w:val="0"/>
              <w:autoSpaceDN w:val="0"/>
              <w:adjustRightInd w:val="0"/>
              <w:rPr>
                <w:rFonts w:ascii="Arial" w:hAnsi="Arial" w:cs="Arial"/>
                <w:sz w:val="18"/>
                <w:szCs w:val="18"/>
                <w:lang w:val="es-ES_tradnl"/>
              </w:rPr>
            </w:pPr>
            <w:r w:rsidRPr="00952B75">
              <w:rPr>
                <w:rFonts w:ascii="Arial" w:hAnsi="Arial" w:cs="Arial"/>
                <w:sz w:val="18"/>
                <w:szCs w:val="18"/>
                <w:lang w:val="es-ES_tradnl"/>
              </w:rPr>
              <w:t>(Este permiso lo concede el departamento nacional responsable de la gestión de los parques de reservas naturales).</w:t>
            </w:r>
          </w:p>
        </w:tc>
      </w:tr>
    </w:tbl>
    <w:p w:rsidR="003E0A91" w:rsidRPr="00952B75" w:rsidRDefault="003E0A91" w:rsidP="003E0A91">
      <w:pPr>
        <w:pStyle w:val="EndnoteText"/>
        <w:jc w:val="both"/>
        <w:rPr>
          <w:rFonts w:ascii="Arial" w:hAnsi="Arial" w:cs="Arial"/>
          <w:b/>
          <w:sz w:val="22"/>
          <w:szCs w:val="22"/>
          <w:lang w:val="es-ES_tradnl"/>
        </w:rPr>
      </w:pPr>
    </w:p>
    <w:p w:rsidR="003E0A91" w:rsidRPr="00952B75" w:rsidRDefault="003E0A91" w:rsidP="003E0A91">
      <w:pPr>
        <w:pStyle w:val="EndnoteText"/>
        <w:ind w:left="360"/>
        <w:jc w:val="both"/>
        <w:rPr>
          <w:rFonts w:ascii="Arial" w:hAnsi="Arial" w:cs="Arial"/>
          <w:b/>
          <w:sz w:val="22"/>
          <w:szCs w:val="22"/>
          <w:lang w:val="es-ES_tradnl"/>
        </w:rPr>
      </w:pPr>
      <w:r w:rsidRPr="00952B75">
        <w:rPr>
          <w:rFonts w:ascii="Arial" w:hAnsi="Arial" w:cs="Arial"/>
          <w:b/>
          <w:sz w:val="22"/>
          <w:szCs w:val="22"/>
          <w:lang w:val="es-ES_tradnl"/>
        </w:rPr>
        <w:t>2. Proceso de concesión de permisos</w:t>
      </w:r>
    </w:p>
    <w:p w:rsidR="003E0A91" w:rsidRPr="00952B75" w:rsidRDefault="003E0A91" w:rsidP="003E0A91">
      <w:pPr>
        <w:pStyle w:val="EndnoteText"/>
        <w:jc w:val="both"/>
        <w:rPr>
          <w:rFonts w:ascii="Arial" w:hAnsi="Arial" w:cs="Arial"/>
          <w:b/>
          <w:sz w:val="22"/>
          <w:szCs w:val="22"/>
          <w:lang w:val="es-ES_tradnl"/>
        </w:rPr>
      </w:pP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Las autoridades ambientales regionales (“Corporaciones Autónomas Regionales - CAR”) tienen autonomía para definir el proceso de concesión de permisos para los proyectos que se encuentran bajo su jurisdicción. El decreto ambiental unificado (Decreto 1076/2015), que regula las cuestiones ambientales en Colombia, solo establece que estos permisos aplicables deben concederse antes del comienzo de la ejecución del proyecto.</w:t>
      </w: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 xml:space="preserve">A pesar de esta autonomía, el Decreto 1076/2015 (art. 2.2.2.8.5.4) establece que todos los formularios utilizados para solicitar permisos deben estar en conformidad con una norma nacional. Además, con el fin de estandarizar los procesos de permisos de las CAR y ANLA (“Agencia Nacional de Licenciamiento Ambiental”), el gobierno ha diseñado una plataforma en línea (“Ventanilla Integral de Trámites Ambientales en </w:t>
      </w:r>
      <w:r w:rsidRPr="00952B75">
        <w:rPr>
          <w:rFonts w:ascii="Arial" w:hAnsi="Arial" w:cs="Arial"/>
          <w:sz w:val="22"/>
          <w:szCs w:val="22"/>
          <w:lang w:val="es-ES_tradnl"/>
        </w:rPr>
        <w:lastRenderedPageBreak/>
        <w:t>Línea - VITAL”</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en la cual las empresas y los ciudadanos pueden solicitar licencias y permisos.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rPr>
          <w:rFonts w:ascii="Arial" w:hAnsi="Arial" w:cs="Arial"/>
          <w:sz w:val="22"/>
          <w:szCs w:val="22"/>
          <w:lang w:val="es-ES_tradnl"/>
        </w:rPr>
      </w:pPr>
      <w:r w:rsidRPr="00952B75">
        <w:rPr>
          <w:rFonts w:ascii="Arial" w:hAnsi="Arial" w:cs="Arial"/>
          <w:sz w:val="22"/>
          <w:szCs w:val="22"/>
          <w:lang w:val="es-ES_tradnl"/>
        </w:rPr>
        <w:t>Además, algunas autoridades ambientales describen los procesos y los documentos necesarios para la concesión de permisos en una plataforma en línea centralizada (“Sistema Único de Información de Trámites – SUIT”).</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Con base en esta información, podríamos identificar el flujo frecuente de solicitudes de permisos a las empresas: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Preparación de solicitudes</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 xml:space="preserve">En este paso, el ciudadano/organización deben describir el proyecto y proporcionar información acerca de la actividad en formularios estándar (por ejemplo, el formulario nacional de concesiones de aguas superficiales, formulario nacional de aprovechamiento forestal) y, si se correspondiera, presentar los planes necesarios para gestionar el impacto negativo (por ejemplo, plan de gestión de riesgos para el vertimiento de agua). </w:t>
      </w: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Pago de la evaluación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Presentación de la documentación</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La documentación preparada en el primer paso debe presentarse a la autoridad ambiental.</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Presentación de documentación adicional</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Después de la evaluación inicial, la dependencia puede solicitar documentos adicionales con el fin de respaldar su decisión.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 xml:space="preserve">Recepción de la información de autorización (“Auto de inicio”) </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numPr>
          <w:ilvl w:val="0"/>
          <w:numId w:val="38"/>
        </w:numPr>
        <w:jc w:val="both"/>
        <w:rPr>
          <w:rFonts w:ascii="Arial" w:hAnsi="Arial" w:cs="Arial"/>
          <w:i/>
          <w:sz w:val="22"/>
          <w:szCs w:val="22"/>
          <w:lang w:val="es-ES_tradnl"/>
        </w:rPr>
      </w:pPr>
      <w:r w:rsidRPr="00952B75">
        <w:rPr>
          <w:rFonts w:ascii="Arial" w:hAnsi="Arial" w:cs="Arial"/>
          <w:i/>
          <w:sz w:val="22"/>
          <w:szCs w:val="22"/>
          <w:lang w:val="es-ES_tradnl"/>
        </w:rPr>
        <w:t>Visita de campo al proyecto</w:t>
      </w: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La autoridad verifica las condiciones ambientales del proyecto (en caso de que corresponda) y la exactitud de la información proporcionada por el solicitante.</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ind w:left="360"/>
        <w:jc w:val="both"/>
        <w:rPr>
          <w:rFonts w:ascii="Arial" w:hAnsi="Arial" w:cs="Arial"/>
          <w:b/>
          <w:sz w:val="22"/>
          <w:szCs w:val="22"/>
          <w:lang w:val="es-ES_tradnl"/>
        </w:rPr>
      </w:pPr>
      <w:r w:rsidRPr="00952B75">
        <w:rPr>
          <w:rFonts w:ascii="Arial" w:hAnsi="Arial" w:cs="Arial"/>
          <w:b/>
          <w:sz w:val="22"/>
          <w:szCs w:val="22"/>
          <w:lang w:val="es-ES_tradnl"/>
        </w:rPr>
        <w:t>3. Consulta previa a comunidades tradicionales</w:t>
      </w:r>
    </w:p>
    <w:p w:rsidR="003E0A91" w:rsidRPr="00952B75" w:rsidRDefault="003E0A91" w:rsidP="003E0A91">
      <w:pPr>
        <w:pStyle w:val="EndnoteText"/>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Además de los permisos ambientales, el gobierno colombiano verifica si el proyecto afecta a comunidades étnicas (indígenas y afrocolombianos)</w:t>
      </w:r>
      <w:r w:rsidRPr="00952B75">
        <w:rPr>
          <w:rFonts w:ascii="Arial" w:hAnsi="Arial" w:cs="Arial"/>
          <w:sz w:val="22"/>
          <w:szCs w:val="22"/>
          <w:vertAlign w:val="superscript"/>
          <w:lang w:val="es-ES_tradnl"/>
        </w:rPr>
        <w:footnoteRef/>
      </w:r>
      <w:r w:rsidRPr="00952B75">
        <w:rPr>
          <w:rFonts w:ascii="Arial" w:hAnsi="Arial" w:cs="Arial"/>
          <w:sz w:val="22"/>
          <w:szCs w:val="22"/>
          <w:lang w:val="es-ES_tradnl"/>
        </w:rPr>
        <w:t>. Con el fin de garantizar sus derechos legales a la consulta informada previa y gratuita, el promotor del proyecto debe recibir una certificación de no existencia de comunidades tradicionales en las tierras involucradas en el proyecto. El Ministerio del Interior otorga la certificación, después de una auditoría que utiliza una base de datos de comunidades tradicionales y, en algunos casos, una visita al sitio para validar la decisión.</w:t>
      </w:r>
    </w:p>
    <w:p w:rsidR="003E0A91" w:rsidRPr="00952B75" w:rsidRDefault="003E0A91" w:rsidP="003E0A91">
      <w:pPr>
        <w:pStyle w:val="EndnoteText"/>
        <w:jc w:val="both"/>
        <w:rPr>
          <w:rFonts w:ascii="Arial" w:hAnsi="Arial" w:cs="Arial"/>
          <w:sz w:val="22"/>
          <w:szCs w:val="22"/>
          <w:lang w:val="es-ES_tradnl"/>
        </w:rPr>
      </w:pPr>
    </w:p>
    <w:p w:rsidR="003E0A91" w:rsidRPr="00952B75" w:rsidRDefault="003E0A91" w:rsidP="003E0A91">
      <w:pPr>
        <w:pStyle w:val="EndnoteText"/>
        <w:jc w:val="both"/>
        <w:rPr>
          <w:rFonts w:ascii="Arial" w:hAnsi="Arial" w:cs="Arial"/>
          <w:sz w:val="22"/>
          <w:szCs w:val="22"/>
          <w:lang w:val="es-ES_tradnl"/>
        </w:rPr>
      </w:pPr>
      <w:r w:rsidRPr="00952B75">
        <w:rPr>
          <w:rFonts w:ascii="Arial" w:hAnsi="Arial" w:cs="Arial"/>
          <w:sz w:val="22"/>
          <w:szCs w:val="22"/>
          <w:lang w:val="es-ES_tradnl"/>
        </w:rPr>
        <w:t>Siempre que el Ministerio del Interior identifique la presencia de estas comunidades, se exigirá un proceso de consulta previa. Los representantes de la comunidad participarán en el diseño de la evaluación de impacto y declararán su acuerdo o desacuerdo con las medidas propuestas para la gestión de los impactos negativos</w:t>
      </w:r>
    </w:p>
    <w:p w:rsidR="003E0A91" w:rsidRPr="00952B75" w:rsidRDefault="003E0A91" w:rsidP="003E0A91">
      <w:pPr>
        <w:pStyle w:val="EndnoteText"/>
        <w:jc w:val="both"/>
        <w:rPr>
          <w:rFonts w:ascii="Arial" w:hAnsi="Arial" w:cs="Arial"/>
          <w:sz w:val="22"/>
          <w:szCs w:val="22"/>
          <w:lang w:val="es-ES_tradnl"/>
        </w:rPr>
      </w:pPr>
    </w:p>
    <w:p w:rsidR="003E0A91" w:rsidRPr="003E0A91" w:rsidRDefault="003E0A91" w:rsidP="003E0A91">
      <w:pPr>
        <w:pStyle w:val="EndnoteText"/>
        <w:rPr>
          <w:rFonts w:ascii="Arial" w:hAnsi="Arial" w:cs="Arial"/>
          <w:b/>
          <w:sz w:val="22"/>
          <w:szCs w:val="22"/>
          <w:lang w:val="es-ES_tradnl"/>
        </w:rPr>
      </w:pPr>
      <w:r w:rsidRPr="003E0A91">
        <w:rPr>
          <w:rFonts w:ascii="Arial" w:hAnsi="Arial" w:cs="Arial"/>
          <w:b/>
          <w:sz w:val="22"/>
          <w:szCs w:val="22"/>
          <w:lang w:val="es-ES_tradnl"/>
        </w:rPr>
        <w:t>Referencias:</w:t>
      </w:r>
    </w:p>
    <w:p w:rsidR="003E0A91" w:rsidRPr="00952B75" w:rsidRDefault="003E0A91" w:rsidP="003E0A91">
      <w:pPr>
        <w:pStyle w:val="EndnoteText"/>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Decreto 1076/2015:</w:t>
      </w:r>
    </w:p>
    <w:p w:rsidR="003E0A91" w:rsidRPr="00952B75" w:rsidRDefault="00136E27" w:rsidP="003E0A91">
      <w:pPr>
        <w:pStyle w:val="EndnoteText"/>
        <w:jc w:val="both"/>
        <w:rPr>
          <w:rFonts w:ascii="Arial" w:hAnsi="Arial" w:cs="Arial"/>
          <w:lang w:val="es-ES_tradnl"/>
        </w:rPr>
      </w:pPr>
      <w:hyperlink r:id="rId17" w:history="1">
        <w:r w:rsidR="003E0A91" w:rsidRPr="00952B75">
          <w:rPr>
            <w:rStyle w:val="Hyperlink"/>
            <w:rFonts w:ascii="Arial" w:hAnsi="Arial"/>
            <w:lang w:val="es-ES_tradnl"/>
          </w:rPr>
          <w:t>http://wp.presidencia.gov.co/sitios/normativa/decretos/2015/Decretos2015/DECRETO%201076%20DEL%2026%20DE%20MAYO%20DE%202015.pdf</w:t>
        </w:r>
      </w:hyperlink>
    </w:p>
    <w:p w:rsidR="003E0A91" w:rsidRPr="00952B75" w:rsidRDefault="003E0A91" w:rsidP="003E0A91">
      <w:pPr>
        <w:pStyle w:val="EndnoteText"/>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 xml:space="preserve">Ventanilla Integral de Tramites Ambientales en Línea: </w:t>
      </w:r>
      <w:hyperlink r:id="rId18" w:history="1">
        <w:r w:rsidRPr="00952B75">
          <w:rPr>
            <w:rStyle w:val="Hyperlink"/>
            <w:rFonts w:ascii="Arial" w:hAnsi="Arial"/>
            <w:lang w:val="es-ES_tradnl"/>
          </w:rPr>
          <w:t>http://vital.anla.gov.co/SILPA/TESTSILPA/Security/Login.aspx?ReturnUrl=%2fSILPA%2fTestSilpa%2fSecurity%2fdefault.aspx</w:t>
        </w:r>
      </w:hyperlink>
    </w:p>
    <w:p w:rsidR="003E0A91" w:rsidRPr="00952B75" w:rsidRDefault="003E0A91" w:rsidP="003E0A91">
      <w:pPr>
        <w:pStyle w:val="EndnoteText"/>
        <w:jc w:val="both"/>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 xml:space="preserve">Sistema Único de Información de Trámites: </w:t>
      </w:r>
    </w:p>
    <w:p w:rsidR="003E0A91" w:rsidRPr="00952B75" w:rsidRDefault="00136E27" w:rsidP="003E0A91">
      <w:pPr>
        <w:pStyle w:val="EndnoteText"/>
        <w:jc w:val="both"/>
        <w:rPr>
          <w:rFonts w:ascii="Arial" w:hAnsi="Arial" w:cs="Arial"/>
          <w:lang w:val="es-ES_tradnl"/>
        </w:rPr>
      </w:pPr>
      <w:hyperlink r:id="rId19" w:history="1">
        <w:r w:rsidR="003E0A91" w:rsidRPr="00952B75">
          <w:rPr>
            <w:rStyle w:val="Hyperlink"/>
            <w:rFonts w:ascii="Arial" w:hAnsi="Arial"/>
            <w:lang w:val="es-ES_tradnl"/>
          </w:rPr>
          <w:t>http://www.suit.gov.co/inicio</w:t>
        </w:r>
      </w:hyperlink>
    </w:p>
    <w:p w:rsidR="003E0A91" w:rsidRPr="00952B75" w:rsidRDefault="003E0A91" w:rsidP="003E0A91">
      <w:pPr>
        <w:pStyle w:val="EndnoteText"/>
        <w:jc w:val="both"/>
        <w:rPr>
          <w:rFonts w:ascii="Arial" w:hAnsi="Arial" w:cs="Arial"/>
          <w:lang w:val="es-ES_tradnl"/>
        </w:rPr>
      </w:pPr>
    </w:p>
    <w:p w:rsidR="003E0A91" w:rsidRPr="00952B75" w:rsidRDefault="003E0A91" w:rsidP="003E0A91">
      <w:pPr>
        <w:pStyle w:val="EndnoteText"/>
        <w:jc w:val="both"/>
        <w:rPr>
          <w:rFonts w:ascii="Arial" w:hAnsi="Arial" w:cs="Arial"/>
          <w:lang w:val="es-ES_tradnl"/>
        </w:rPr>
      </w:pPr>
      <w:r w:rsidRPr="00952B75">
        <w:rPr>
          <w:rFonts w:ascii="Arial" w:hAnsi="Arial" w:cs="Arial"/>
          <w:lang w:val="es-ES_tradnl"/>
        </w:rPr>
        <w:t>Decreto 1320/1998: https://www.mininterior.gov.co/sites/default/files/co-decreto-1320-98-consulta-previa-indigenas-_2.pdf,</w:t>
      </w:r>
    </w:p>
    <w:p w:rsidR="003E0A91" w:rsidRPr="003E0A91" w:rsidRDefault="003E0A91" w:rsidP="003E0A91">
      <w:pPr>
        <w:tabs>
          <w:tab w:val="left" w:pos="810"/>
        </w:tabs>
        <w:suppressAutoHyphens/>
        <w:autoSpaceDN w:val="0"/>
        <w:spacing w:before="120" w:after="120"/>
        <w:jc w:val="both"/>
        <w:textAlignment w:val="baseline"/>
        <w:outlineLvl w:val="1"/>
        <w:rPr>
          <w:rFonts w:ascii="Arial" w:eastAsia="MS Mincho" w:hAnsi="Arial" w:cs="Arial"/>
          <w:sz w:val="20"/>
          <w:szCs w:val="20"/>
          <w:lang w:val="es-ES_tradnl"/>
        </w:rPr>
      </w:pPr>
      <w:bookmarkStart w:id="106" w:name="_Toc430353143"/>
      <w:bookmarkStart w:id="107" w:name="_Toc430353512"/>
      <w:bookmarkStart w:id="108" w:name="_Toc431307141"/>
      <w:r w:rsidRPr="003E0A91">
        <w:rPr>
          <w:rFonts w:ascii="Arial" w:eastAsia="MS Mincho" w:hAnsi="Arial" w:cs="Arial"/>
          <w:sz w:val="20"/>
          <w:szCs w:val="20"/>
          <w:lang w:val="es-ES_tradnl"/>
        </w:rPr>
        <w:t>Decreto 1220/2005: http://www.ideam.gov.co/documents/24024/36843/Decreto_1220+de+2005.pdf/9127b232-8215-46aa-8793-c0d3ec21b076</w:t>
      </w:r>
      <w:bookmarkEnd w:id="106"/>
      <w:bookmarkEnd w:id="107"/>
      <w:bookmarkEnd w:id="108"/>
    </w:p>
    <w:p w:rsidR="003E0A91" w:rsidRPr="00952B75" w:rsidRDefault="003E0A91" w:rsidP="003E0A91">
      <w:pPr>
        <w:tabs>
          <w:tab w:val="left" w:pos="810"/>
        </w:tabs>
        <w:suppressAutoHyphens/>
        <w:autoSpaceDN w:val="0"/>
        <w:spacing w:before="120" w:after="120"/>
        <w:ind w:left="360"/>
        <w:jc w:val="both"/>
        <w:textAlignment w:val="baseline"/>
        <w:outlineLvl w:val="1"/>
        <w:rPr>
          <w:rFonts w:ascii="Arial" w:hAnsi="Arial" w:cs="Arial"/>
          <w:b/>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b/>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3E0A91" w:rsidRPr="00952B75" w:rsidRDefault="003E0A91" w:rsidP="003E0A91">
      <w:pPr>
        <w:tabs>
          <w:tab w:val="left" w:pos="810"/>
        </w:tabs>
        <w:suppressAutoHyphens/>
        <w:autoSpaceDN w:val="0"/>
        <w:spacing w:before="120" w:after="120"/>
        <w:jc w:val="both"/>
        <w:textAlignment w:val="baseline"/>
        <w:outlineLvl w:val="1"/>
        <w:rPr>
          <w:rFonts w:ascii="Arial" w:hAnsi="Arial" w:cs="Arial"/>
          <w:highlight w:val="yellow"/>
          <w:lang w:val="es-ES_tradnl"/>
        </w:rPr>
      </w:pPr>
    </w:p>
    <w:p w:rsidR="00930693" w:rsidRPr="00080B2A" w:rsidRDefault="003E0A91" w:rsidP="004B0E2A">
      <w:pPr>
        <w:pStyle w:val="Heading3"/>
        <w:numPr>
          <w:ilvl w:val="0"/>
          <w:numId w:val="0"/>
        </w:numPr>
        <w:spacing w:before="0"/>
        <w:ind w:left="2160" w:hanging="2160"/>
        <w:jc w:val="center"/>
        <w:rPr>
          <w:sz w:val="32"/>
          <w:szCs w:val="32"/>
          <w:lang w:val="es-ES"/>
        </w:rPr>
      </w:pPr>
      <w:r>
        <w:rPr>
          <w:sz w:val="32"/>
          <w:szCs w:val="32"/>
          <w:lang w:val="es-ES"/>
        </w:rPr>
        <w:br w:type="page"/>
      </w:r>
      <w:bookmarkStart w:id="109" w:name="_Toc431307142"/>
      <w:r w:rsidR="00930693" w:rsidRPr="005B57B7">
        <w:rPr>
          <w:sz w:val="32"/>
          <w:szCs w:val="32"/>
          <w:lang w:val="es-ES"/>
        </w:rPr>
        <w:lastRenderedPageBreak/>
        <w:t xml:space="preserve">ANEXO </w:t>
      </w:r>
      <w:r w:rsidR="007A7948" w:rsidRPr="005B57B7">
        <w:rPr>
          <w:sz w:val="32"/>
          <w:szCs w:val="32"/>
          <w:lang w:val="es-ES"/>
        </w:rPr>
        <w:t xml:space="preserve">5 </w:t>
      </w:r>
      <w:r w:rsidR="004B0E2A" w:rsidRPr="005B57B7">
        <w:rPr>
          <w:sz w:val="32"/>
          <w:szCs w:val="32"/>
          <w:lang w:val="es-ES"/>
        </w:rPr>
        <w:t xml:space="preserve">- </w:t>
      </w:r>
      <w:r w:rsidR="00930693" w:rsidRPr="00080B2A">
        <w:rPr>
          <w:sz w:val="32"/>
          <w:szCs w:val="32"/>
          <w:lang w:val="es-ES"/>
        </w:rPr>
        <w:t>Lista de Países Miembros</w:t>
      </w:r>
      <w:bookmarkEnd w:id="109"/>
    </w:p>
    <w:p w:rsidR="00BA0C86" w:rsidRPr="005B57B7" w:rsidRDefault="00BA0C86" w:rsidP="00CD3EE8">
      <w:pPr>
        <w:jc w:val="center"/>
        <w:rPr>
          <w:sz w:val="22"/>
          <w:lang w:val="es-ES"/>
        </w:rPr>
      </w:pPr>
    </w:p>
    <w:bookmarkEnd w:id="101"/>
    <w:p w:rsidR="0050047E" w:rsidRPr="005B57B7" w:rsidRDefault="0050047E">
      <w:pPr>
        <w:pStyle w:val="NormalWeb"/>
        <w:spacing w:before="120" w:line="240" w:lineRule="auto"/>
        <w:jc w:val="both"/>
        <w:rPr>
          <w:rFonts w:ascii="Arial" w:hAnsi="Arial" w:cs="Arial"/>
          <w:sz w:val="22"/>
          <w:szCs w:val="22"/>
        </w:rPr>
      </w:pPr>
      <w:r w:rsidRPr="005B57B7">
        <w:rPr>
          <w:rFonts w:ascii="Arial" w:hAnsi="Arial" w:cs="Arial"/>
          <w:sz w:val="22"/>
          <w:szCs w:val="22"/>
        </w:rPr>
        <w:t xml:space="preserve">El BID se creó en 1959 como una asociación entre 19 países latinoamericanos y Estados Unidos. Los países miembros originales del BID son Argentina, Bolivia, Brasil, Chile, Colombia, Costa Rica, Ecuador, El Salvador, Guatemala, Haití, Honduras, México, Nicaragua, Panamá, Paraguay, Perú, República Dominicana, Uruguay, Venezuela y Estados Unidos. </w:t>
      </w:r>
    </w:p>
    <w:p w:rsidR="0050047E" w:rsidRPr="005B57B7" w:rsidRDefault="0050047E">
      <w:pPr>
        <w:pStyle w:val="NormalWeb"/>
        <w:spacing w:before="120" w:line="240" w:lineRule="auto"/>
        <w:jc w:val="both"/>
        <w:rPr>
          <w:rFonts w:ascii="Arial" w:hAnsi="Arial" w:cs="Arial"/>
          <w:sz w:val="22"/>
          <w:szCs w:val="22"/>
        </w:rPr>
      </w:pPr>
      <w:r w:rsidRPr="005B57B7">
        <w:rPr>
          <w:rFonts w:ascii="Arial" w:hAnsi="Arial" w:cs="Arial"/>
          <w:sz w:val="22"/>
          <w:szCs w:val="22"/>
        </w:rPr>
        <w:t xml:space="preserve">El Banco actualmente tiene 47 países miembros, de los cuales 26 son </w:t>
      </w:r>
      <w:hyperlink r:id="rId20" w:history="1">
        <w:r w:rsidRPr="005B57B7">
          <w:rPr>
            <w:rStyle w:val="Hyperlink"/>
            <w:rFonts w:ascii="Arial" w:hAnsi="Arial"/>
            <w:color w:val="auto"/>
            <w:sz w:val="22"/>
            <w:szCs w:val="22"/>
          </w:rPr>
          <w:t>miembros prestatarios</w:t>
        </w:r>
      </w:hyperlink>
      <w:r w:rsidRPr="005B57B7">
        <w:rPr>
          <w:rFonts w:ascii="Arial" w:hAnsi="Arial" w:cs="Arial"/>
          <w:sz w:val="22"/>
          <w:szCs w:val="22"/>
        </w:rPr>
        <w:t xml:space="preserve"> en la región. </w:t>
      </w:r>
    </w:p>
    <w:tbl>
      <w:tblPr>
        <w:tblW w:w="8280" w:type="dxa"/>
        <w:tblCellMar>
          <w:top w:w="15" w:type="dxa"/>
          <w:left w:w="15" w:type="dxa"/>
          <w:bottom w:w="15" w:type="dxa"/>
          <w:right w:w="15" w:type="dxa"/>
        </w:tblCellMar>
        <w:tblLook w:val="0000" w:firstRow="0" w:lastRow="0" w:firstColumn="0" w:lastColumn="0" w:noHBand="0" w:noVBand="0"/>
      </w:tblPr>
      <w:tblGrid>
        <w:gridCol w:w="2749"/>
        <w:gridCol w:w="2369"/>
        <w:gridCol w:w="3162"/>
      </w:tblGrid>
      <w:tr w:rsidR="0050047E" w:rsidRPr="005B57B7">
        <w:tc>
          <w:tcPr>
            <w:tcW w:w="0" w:type="auto"/>
            <w:gridSpan w:val="3"/>
            <w:tcMar>
              <w:top w:w="60" w:type="dxa"/>
              <w:left w:w="60" w:type="dxa"/>
              <w:bottom w:w="60" w:type="dxa"/>
              <w:right w:w="60" w:type="dxa"/>
            </w:tcMar>
            <w:vAlign w:val="center"/>
          </w:tcPr>
          <w:p w:rsidR="0050047E" w:rsidRPr="005B57B7" w:rsidRDefault="0050047E">
            <w:pPr>
              <w:spacing w:before="120"/>
              <w:jc w:val="both"/>
              <w:rPr>
                <w:rFonts w:ascii="Arial" w:hAnsi="Arial" w:cs="Arial"/>
                <w:b/>
                <w:bCs/>
                <w:sz w:val="22"/>
                <w:szCs w:val="22"/>
                <w:lang w:val="es-ES"/>
              </w:rPr>
            </w:pPr>
            <w:r w:rsidRPr="005B57B7">
              <w:rPr>
                <w:rFonts w:ascii="Arial" w:hAnsi="Arial" w:cs="Arial"/>
                <w:b/>
                <w:bCs/>
                <w:sz w:val="22"/>
                <w:szCs w:val="22"/>
                <w:lang w:val="es-ES"/>
              </w:rPr>
              <w:t xml:space="preserve">Países miembros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1" w:history="1">
              <w:r w:rsidR="0050047E" w:rsidRPr="005B57B7">
                <w:rPr>
                  <w:rStyle w:val="Hyperlink"/>
                  <w:rFonts w:ascii="Arial" w:hAnsi="Arial"/>
                  <w:color w:val="auto"/>
                  <w:sz w:val="22"/>
                  <w:szCs w:val="22"/>
                  <w:lang w:val="es-ES"/>
                </w:rPr>
                <w:t>Argentina</w:t>
              </w:r>
            </w:hyperlink>
            <w:r w:rsidR="0050047E" w:rsidRPr="005B57B7">
              <w:rPr>
                <w:rFonts w:ascii="Arial" w:hAnsi="Arial" w:cs="Arial"/>
                <w:sz w:val="22"/>
                <w:szCs w:val="22"/>
                <w:lang w:val="es-ES"/>
              </w:rPr>
              <w:t>*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2" w:history="1">
              <w:r w:rsidR="0050047E" w:rsidRPr="005B57B7">
                <w:rPr>
                  <w:rStyle w:val="Hyperlink"/>
                  <w:rFonts w:ascii="Arial" w:hAnsi="Arial"/>
                  <w:color w:val="auto"/>
                  <w:sz w:val="22"/>
                  <w:szCs w:val="22"/>
                  <w:lang w:val="es-ES"/>
                </w:rPr>
                <w:t>Ecuador</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3" w:history="1">
              <w:r w:rsidR="0050047E" w:rsidRPr="005B57B7">
                <w:rPr>
                  <w:rStyle w:val="Hyperlink"/>
                  <w:rFonts w:ascii="Arial" w:hAnsi="Arial"/>
                  <w:color w:val="auto"/>
                  <w:sz w:val="22"/>
                  <w:szCs w:val="22"/>
                  <w:lang w:val="es-ES"/>
                </w:rPr>
                <w:t>Nicaragua</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Alemania*</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4" w:history="1">
              <w:r w:rsidR="0050047E" w:rsidRPr="005B57B7">
                <w:rPr>
                  <w:rStyle w:val="Hyperlink"/>
                  <w:rFonts w:ascii="Arial" w:hAnsi="Arial"/>
                  <w:color w:val="auto"/>
                  <w:sz w:val="22"/>
                  <w:szCs w:val="22"/>
                  <w:lang w:val="es-ES"/>
                </w:rPr>
                <w:t>El Salvador</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Noruega*</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Austria*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Eslovenia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Países Bajos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5" w:history="1">
              <w:r w:rsidR="0050047E" w:rsidRPr="005B57B7">
                <w:rPr>
                  <w:rStyle w:val="Hyperlink"/>
                  <w:rFonts w:ascii="Arial" w:hAnsi="Arial"/>
                  <w:color w:val="auto"/>
                  <w:sz w:val="22"/>
                  <w:szCs w:val="22"/>
                  <w:lang w:val="es-ES"/>
                </w:rPr>
                <w:t>Bahamas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España*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6" w:history="1">
              <w:r w:rsidR="0050047E" w:rsidRPr="005B57B7">
                <w:rPr>
                  <w:rStyle w:val="Hyperlink"/>
                  <w:rFonts w:ascii="Arial" w:hAnsi="Arial"/>
                  <w:color w:val="auto"/>
                  <w:sz w:val="22"/>
                  <w:szCs w:val="22"/>
                  <w:lang w:val="es-ES"/>
                </w:rPr>
                <w:t>Panamá</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7" w:history="1">
              <w:r w:rsidR="0050047E" w:rsidRPr="005B57B7">
                <w:rPr>
                  <w:rStyle w:val="Hyperlink"/>
                  <w:rFonts w:ascii="Arial" w:hAnsi="Arial"/>
                  <w:color w:val="auto"/>
                  <w:sz w:val="22"/>
                  <w:szCs w:val="22"/>
                  <w:lang w:val="es-ES"/>
                </w:rPr>
                <w:t>Barbados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Estados Unidos* ^ &gt;</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8" w:history="1">
              <w:r w:rsidR="0050047E" w:rsidRPr="005B57B7">
                <w:rPr>
                  <w:rStyle w:val="Hyperlink"/>
                  <w:rFonts w:ascii="Arial" w:hAnsi="Arial"/>
                  <w:color w:val="auto"/>
                  <w:sz w:val="22"/>
                  <w:szCs w:val="22"/>
                  <w:lang w:val="es-ES"/>
                </w:rPr>
                <w:t>Paraguay</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Bélgica*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Finlandia*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29" w:history="1">
              <w:r w:rsidR="0050047E" w:rsidRPr="005B57B7">
                <w:rPr>
                  <w:rStyle w:val="Hyperlink"/>
                  <w:rFonts w:ascii="Arial" w:hAnsi="Arial"/>
                  <w:color w:val="auto"/>
                  <w:sz w:val="22"/>
                  <w:szCs w:val="22"/>
                  <w:lang w:val="es-ES"/>
                </w:rPr>
                <w:t>Perú</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0" w:history="1">
              <w:r w:rsidR="0050047E" w:rsidRPr="005B57B7">
                <w:rPr>
                  <w:rStyle w:val="Hyperlink"/>
                  <w:rFonts w:ascii="Arial" w:hAnsi="Arial"/>
                  <w:color w:val="auto"/>
                  <w:sz w:val="22"/>
                  <w:szCs w:val="22"/>
                  <w:lang w:val="es-ES"/>
                </w:rPr>
                <w:t>Belice</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Francia*+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Portugal* ^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1" w:history="1">
              <w:r w:rsidR="0050047E" w:rsidRPr="005B57B7">
                <w:rPr>
                  <w:rStyle w:val="Hyperlink"/>
                  <w:rFonts w:ascii="Arial" w:hAnsi="Arial"/>
                  <w:color w:val="auto"/>
                  <w:sz w:val="22"/>
                  <w:szCs w:val="22"/>
                  <w:lang w:val="es-ES"/>
                </w:rPr>
                <w:t>Bolivia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2" w:history="1">
              <w:r w:rsidR="0050047E" w:rsidRPr="005B57B7">
                <w:rPr>
                  <w:rStyle w:val="Hyperlink"/>
                  <w:rFonts w:ascii="Arial" w:hAnsi="Arial"/>
                  <w:color w:val="auto"/>
                  <w:sz w:val="22"/>
                  <w:szCs w:val="22"/>
                  <w:lang w:val="es-ES"/>
                </w:rPr>
                <w:t>Guatemala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Reino Unido+</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3" w:history="1">
              <w:r w:rsidR="0050047E" w:rsidRPr="005B57B7">
                <w:rPr>
                  <w:rStyle w:val="Hyperlink"/>
                  <w:rFonts w:ascii="Arial" w:hAnsi="Arial"/>
                  <w:color w:val="auto"/>
                  <w:sz w:val="22"/>
                  <w:szCs w:val="22"/>
                  <w:lang w:val="es-ES"/>
                </w:rPr>
                <w:t>Brasil</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4" w:history="1">
              <w:r w:rsidR="0050047E" w:rsidRPr="005B57B7">
                <w:rPr>
                  <w:rStyle w:val="Hyperlink"/>
                  <w:rFonts w:ascii="Arial" w:hAnsi="Arial"/>
                  <w:color w:val="auto"/>
                  <w:sz w:val="22"/>
                  <w:szCs w:val="22"/>
                  <w:lang w:val="es-ES"/>
                </w:rPr>
                <w:t>Guyana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5" w:history="1">
              <w:r w:rsidR="0050047E" w:rsidRPr="005B57B7">
                <w:rPr>
                  <w:rStyle w:val="Hyperlink"/>
                  <w:rFonts w:ascii="Arial" w:hAnsi="Arial"/>
                  <w:color w:val="auto"/>
                  <w:sz w:val="22"/>
                  <w:szCs w:val="22"/>
                  <w:lang w:val="es-ES"/>
                </w:rPr>
                <w:t xml:space="preserve">República Dominicana </w:t>
              </w:r>
            </w:hyperlink>
            <w:r w:rsidR="0050047E" w:rsidRPr="005B57B7">
              <w:rPr>
                <w:rFonts w:ascii="Arial" w:hAnsi="Arial" w:cs="Arial"/>
                <w:sz w:val="22"/>
                <w:szCs w:val="22"/>
                <w:lang w:val="es-ES"/>
              </w:rPr>
              <w:t>*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Canadá^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6" w:history="1">
              <w:r w:rsidR="0050047E" w:rsidRPr="005B57B7">
                <w:rPr>
                  <w:rStyle w:val="Hyperlink"/>
                  <w:rFonts w:ascii="Arial" w:hAnsi="Arial"/>
                  <w:color w:val="auto"/>
                  <w:sz w:val="22"/>
                  <w:szCs w:val="22"/>
                  <w:lang w:val="es-ES"/>
                </w:rPr>
                <w:t>Haití</w:t>
              </w:r>
            </w:hyperlink>
            <w:r w:rsidR="0050047E" w:rsidRPr="005B57B7">
              <w:rPr>
                <w:rFonts w:ascii="Arial" w:hAnsi="Arial" w:cs="Arial"/>
                <w:sz w:val="22"/>
                <w:szCs w:val="22"/>
                <w:lang w:val="es-ES"/>
              </w:rPr>
              <w:t xml:space="preserve">*+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República Popular China*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7" w:history="1">
              <w:r w:rsidR="0050047E" w:rsidRPr="005B57B7">
                <w:rPr>
                  <w:rStyle w:val="Hyperlink"/>
                  <w:rFonts w:ascii="Arial" w:hAnsi="Arial"/>
                  <w:color w:val="auto"/>
                  <w:sz w:val="22"/>
                  <w:szCs w:val="22"/>
                  <w:lang w:val="es-ES"/>
                </w:rPr>
                <w:t>Chile</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8" w:history="1">
              <w:r w:rsidR="0050047E" w:rsidRPr="005B57B7">
                <w:rPr>
                  <w:rStyle w:val="Hyperlink"/>
                  <w:rFonts w:ascii="Arial" w:hAnsi="Arial"/>
                  <w:color w:val="auto"/>
                  <w:sz w:val="22"/>
                  <w:szCs w:val="22"/>
                  <w:lang w:val="es-ES"/>
                </w:rPr>
                <w:t>Honduras</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Suecia*+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39" w:history="1">
              <w:r w:rsidR="0050047E" w:rsidRPr="005B57B7">
                <w:rPr>
                  <w:rStyle w:val="Hyperlink"/>
                  <w:rFonts w:ascii="Arial" w:hAnsi="Arial"/>
                  <w:color w:val="auto"/>
                  <w:sz w:val="22"/>
                  <w:szCs w:val="22"/>
                  <w:lang w:val="es-ES"/>
                </w:rPr>
                <w:t>Colombia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Israel*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Suiza*+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Corea , República de*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Italia*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0" w:history="1">
              <w:r w:rsidR="0050047E" w:rsidRPr="005B57B7">
                <w:rPr>
                  <w:rStyle w:val="Hyperlink"/>
                  <w:rFonts w:ascii="Arial" w:hAnsi="Arial"/>
                  <w:color w:val="auto"/>
                  <w:sz w:val="22"/>
                  <w:szCs w:val="22"/>
                  <w:lang w:val="es-ES"/>
                </w:rPr>
                <w:t>Suriname</w:t>
              </w:r>
            </w:hyperlink>
            <w:r w:rsidR="0050047E" w:rsidRPr="005B57B7">
              <w:rPr>
                <w:rFonts w:ascii="Arial" w:hAnsi="Arial" w:cs="Arial"/>
                <w:sz w:val="22"/>
                <w:szCs w:val="22"/>
                <w:lang w:val="es-ES"/>
              </w:rPr>
              <w:t xml:space="preserve">*^    </w:t>
            </w:r>
          </w:p>
        </w:tc>
      </w:tr>
      <w:tr w:rsidR="0050047E" w:rsidRPr="005B57B7">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1" w:history="1">
              <w:r w:rsidR="0050047E" w:rsidRPr="005B57B7">
                <w:rPr>
                  <w:rStyle w:val="Hyperlink"/>
                  <w:rFonts w:ascii="Arial" w:hAnsi="Arial"/>
                  <w:color w:val="auto"/>
                  <w:sz w:val="22"/>
                  <w:szCs w:val="22"/>
                  <w:lang w:val="es-ES"/>
                </w:rPr>
                <w:t>Costa Rica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2" w:history="1">
              <w:r w:rsidR="0050047E" w:rsidRPr="005B57B7">
                <w:rPr>
                  <w:rStyle w:val="Hyperlink"/>
                  <w:rFonts w:ascii="Arial" w:hAnsi="Arial"/>
                  <w:color w:val="auto"/>
                  <w:sz w:val="22"/>
                  <w:szCs w:val="22"/>
                  <w:lang w:val="es-ES"/>
                </w:rPr>
                <w:t>Jamaica</w:t>
              </w:r>
            </w:hyperlink>
            <w:r w:rsidR="0050047E" w:rsidRPr="005B57B7">
              <w:rPr>
                <w:rFonts w:ascii="Arial" w:hAnsi="Arial" w:cs="Arial"/>
                <w:sz w:val="22"/>
                <w:szCs w:val="22"/>
                <w:lang w:val="es-ES"/>
              </w:rPr>
              <w:t xml:space="preserve">*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3" w:history="1">
              <w:r w:rsidR="0050047E" w:rsidRPr="005B57B7">
                <w:rPr>
                  <w:rStyle w:val="Hyperlink"/>
                  <w:rFonts w:ascii="Arial" w:hAnsi="Arial"/>
                  <w:color w:val="auto"/>
                  <w:sz w:val="22"/>
                  <w:szCs w:val="22"/>
                  <w:lang w:val="es-ES"/>
                </w:rPr>
                <w:t>Trinidad y Tobago</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Croacia </w:t>
            </w:r>
          </w:p>
        </w:tc>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Japón* ^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4" w:history="1">
              <w:r w:rsidR="0050047E" w:rsidRPr="005B57B7">
                <w:rPr>
                  <w:rStyle w:val="Hyperlink"/>
                  <w:rFonts w:ascii="Arial" w:hAnsi="Arial"/>
                  <w:color w:val="auto"/>
                  <w:sz w:val="22"/>
                  <w:szCs w:val="22"/>
                  <w:lang w:val="es-ES"/>
                </w:rPr>
                <w:t>Uruguay</w:t>
              </w:r>
            </w:hyperlink>
            <w:r w:rsidR="0050047E" w:rsidRPr="005B57B7">
              <w:rPr>
                <w:rFonts w:ascii="Arial" w:hAnsi="Arial" w:cs="Arial"/>
                <w:sz w:val="22"/>
                <w:szCs w:val="22"/>
                <w:lang w:val="es-ES"/>
              </w:rPr>
              <w:t xml:space="preserve">* ^ </w:t>
            </w:r>
          </w:p>
        </w:tc>
      </w:tr>
      <w:tr w:rsidR="0050047E" w:rsidRPr="005B57B7">
        <w:tc>
          <w:tcPr>
            <w:tcW w:w="0" w:type="auto"/>
            <w:tcMar>
              <w:top w:w="60" w:type="dxa"/>
              <w:left w:w="60" w:type="dxa"/>
              <w:bottom w:w="60" w:type="dxa"/>
              <w:right w:w="60" w:type="dxa"/>
            </w:tcMar>
            <w:vAlign w:val="center"/>
          </w:tcPr>
          <w:p w:rsidR="0050047E" w:rsidRPr="005B57B7" w:rsidRDefault="0050047E">
            <w:pPr>
              <w:spacing w:before="120"/>
              <w:jc w:val="both"/>
              <w:rPr>
                <w:rFonts w:ascii="Arial" w:hAnsi="Arial" w:cs="Arial"/>
                <w:sz w:val="22"/>
                <w:szCs w:val="22"/>
                <w:lang w:val="es-ES"/>
              </w:rPr>
            </w:pPr>
            <w:r w:rsidRPr="005B57B7">
              <w:rPr>
                <w:rFonts w:ascii="Arial" w:hAnsi="Arial" w:cs="Arial"/>
                <w:sz w:val="22"/>
                <w:szCs w:val="22"/>
                <w:lang w:val="es-ES"/>
              </w:rPr>
              <w:t xml:space="preserve">Dinamarca*  </w:t>
            </w:r>
          </w:p>
        </w:tc>
        <w:tc>
          <w:tcPr>
            <w:tcW w:w="0" w:type="auto"/>
            <w:tcMar>
              <w:top w:w="60" w:type="dxa"/>
              <w:left w:w="60" w:type="dxa"/>
              <w:bottom w:w="60" w:type="dxa"/>
              <w:right w:w="60" w:type="dxa"/>
            </w:tcMar>
            <w:vAlign w:val="center"/>
          </w:tcPr>
          <w:p w:rsidR="0050047E" w:rsidRPr="005B57B7" w:rsidRDefault="00136E27">
            <w:pPr>
              <w:spacing w:before="120"/>
              <w:jc w:val="both"/>
              <w:rPr>
                <w:rFonts w:ascii="Arial" w:hAnsi="Arial" w:cs="Arial"/>
                <w:sz w:val="22"/>
                <w:szCs w:val="22"/>
                <w:lang w:val="es-ES"/>
              </w:rPr>
            </w:pPr>
            <w:hyperlink r:id="rId45" w:history="1">
              <w:r w:rsidR="0050047E" w:rsidRPr="005B57B7">
                <w:rPr>
                  <w:rStyle w:val="Hyperlink"/>
                  <w:rFonts w:ascii="Arial" w:hAnsi="Arial"/>
                  <w:color w:val="auto"/>
                  <w:sz w:val="22"/>
                  <w:szCs w:val="22"/>
                  <w:lang w:val="es-ES"/>
                </w:rPr>
                <w:t>Mexico</w:t>
              </w:r>
            </w:hyperlink>
            <w:r w:rsidR="0050047E" w:rsidRPr="005B57B7">
              <w:rPr>
                <w:rFonts w:ascii="Arial" w:hAnsi="Arial" w:cs="Arial"/>
                <w:sz w:val="22"/>
                <w:szCs w:val="22"/>
                <w:lang w:val="es-ES"/>
              </w:rPr>
              <w:t xml:space="preserve">* ^ </w:t>
            </w:r>
          </w:p>
        </w:tc>
        <w:tc>
          <w:tcPr>
            <w:tcW w:w="0" w:type="auto"/>
            <w:vAlign w:val="center"/>
          </w:tcPr>
          <w:p w:rsidR="0050047E" w:rsidRPr="005B57B7" w:rsidRDefault="00136E27">
            <w:pPr>
              <w:spacing w:before="120"/>
              <w:jc w:val="both"/>
              <w:rPr>
                <w:rFonts w:ascii="Arial" w:hAnsi="Arial" w:cs="Arial"/>
                <w:sz w:val="22"/>
                <w:szCs w:val="22"/>
                <w:lang w:val="es-ES"/>
              </w:rPr>
            </w:pPr>
            <w:hyperlink r:id="rId46" w:history="1">
              <w:r w:rsidR="0050047E" w:rsidRPr="005B57B7">
                <w:rPr>
                  <w:rStyle w:val="Hyperlink"/>
                  <w:rFonts w:ascii="Arial" w:hAnsi="Arial"/>
                  <w:color w:val="auto"/>
                  <w:sz w:val="22"/>
                  <w:szCs w:val="22"/>
                  <w:lang w:val="es-ES"/>
                </w:rPr>
                <w:t>Venezuela</w:t>
              </w:r>
            </w:hyperlink>
            <w:r w:rsidR="0050047E" w:rsidRPr="005B57B7">
              <w:rPr>
                <w:rFonts w:ascii="Arial" w:hAnsi="Arial" w:cs="Arial"/>
                <w:sz w:val="22"/>
                <w:szCs w:val="22"/>
                <w:lang w:val="es-ES"/>
              </w:rPr>
              <w:t>* ^</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Miembro de la Corporación Interamericana de Inversiones</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Miembro del Fondo Multilateral de Inversiones</w:t>
            </w:r>
          </w:p>
        </w:tc>
      </w:tr>
      <w:tr w:rsidR="0050047E" w:rsidRPr="00080B2A">
        <w:tc>
          <w:tcPr>
            <w:tcW w:w="0" w:type="auto"/>
            <w:gridSpan w:val="3"/>
            <w:tcMar>
              <w:top w:w="60" w:type="dxa"/>
              <w:left w:w="60" w:type="dxa"/>
              <w:bottom w:w="60" w:type="dxa"/>
              <w:right w:w="60" w:type="dxa"/>
            </w:tcMar>
            <w:vAlign w:val="center"/>
          </w:tcPr>
          <w:p w:rsidR="0050047E" w:rsidRPr="005B57B7" w:rsidRDefault="0050047E" w:rsidP="00D05405">
            <w:pPr>
              <w:jc w:val="both"/>
              <w:rPr>
                <w:rFonts w:ascii="Arial" w:hAnsi="Arial" w:cs="Arial"/>
                <w:sz w:val="22"/>
                <w:szCs w:val="22"/>
                <w:lang w:val="es-ES"/>
              </w:rPr>
            </w:pPr>
            <w:r w:rsidRPr="005B57B7">
              <w:rPr>
                <w:rFonts w:ascii="Arial" w:hAnsi="Arial" w:cs="Arial"/>
                <w:sz w:val="22"/>
                <w:szCs w:val="22"/>
                <w:lang w:val="es-ES"/>
              </w:rPr>
              <w:t xml:space="preserve">+ Miembro del Fondo Multilateral de Inversiones </w:t>
            </w:r>
          </w:p>
        </w:tc>
      </w:tr>
    </w:tbl>
    <w:p w:rsidR="0050047E" w:rsidRPr="005B57B7" w:rsidRDefault="0050047E" w:rsidP="005B1893">
      <w:pPr>
        <w:spacing w:before="120"/>
        <w:jc w:val="both"/>
        <w:rPr>
          <w:rFonts w:ascii="Arial" w:eastAsia="Batang" w:hAnsi="Arial" w:cs="Arial"/>
          <w:sz w:val="22"/>
          <w:szCs w:val="22"/>
          <w:lang w:val="es-ES" w:eastAsia="es-ES_tradnl"/>
        </w:rPr>
      </w:pPr>
      <w:r w:rsidRPr="005B57B7">
        <w:rPr>
          <w:rFonts w:ascii="Arial" w:eastAsia="Batang" w:hAnsi="Arial" w:cs="Arial"/>
          <w:sz w:val="22"/>
          <w:szCs w:val="22"/>
          <w:lang w:val="es-ES" w:eastAsia="es-ES_tradnl"/>
        </w:rPr>
        <w:t xml:space="preserve">(Última versión: 2005, </w:t>
      </w:r>
      <w:hyperlink r:id="rId47" w:history="1">
        <w:r w:rsidRPr="005B57B7">
          <w:rPr>
            <w:rFonts w:ascii="Arial" w:eastAsia="Batang" w:hAnsi="Arial" w:cs="Arial"/>
            <w:sz w:val="22"/>
            <w:szCs w:val="22"/>
            <w:u w:val="single"/>
            <w:lang w:val="es-ES" w:eastAsia="es-ES_tradnl"/>
          </w:rPr>
          <w:t>www.who.int/medicines/publications/restrictions/en/</w:t>
        </w:r>
      </w:hyperlink>
      <w:r w:rsidRPr="005B57B7">
        <w:rPr>
          <w:rFonts w:ascii="Arial" w:eastAsia="Batang" w:hAnsi="Arial" w:cs="Arial"/>
          <w:sz w:val="22"/>
          <w:szCs w:val="22"/>
          <w:lang w:val="es-ES" w:eastAsia="es-ES_tradnl"/>
        </w:rPr>
        <w:t xml:space="preserve">) </w:t>
      </w:r>
      <w:bookmarkEnd w:id="2"/>
    </w:p>
    <w:sectPr w:rsidR="0050047E" w:rsidRPr="005B57B7" w:rsidSect="00344ADF">
      <w:pgSz w:w="11906" w:h="16838"/>
      <w:pgMar w:top="1417" w:right="1646" w:bottom="1260"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E0" w:rsidRDefault="00AF69E0">
      <w:r>
        <w:separator/>
      </w:r>
    </w:p>
  </w:endnote>
  <w:endnote w:type="continuationSeparator" w:id="0">
    <w:p w:rsidR="00AF69E0" w:rsidRDefault="00AF69E0">
      <w:r>
        <w:continuationSeparator/>
      </w:r>
    </w:p>
  </w:endnote>
  <w:endnote w:type="continuationNotice" w:id="1">
    <w:p w:rsidR="00AF69E0" w:rsidRDefault="00AF69E0"/>
  </w:endnote>
  <w:endnote w:id="2">
    <w:p w:rsidR="00AF69E0" w:rsidRDefault="00AF69E0" w:rsidP="00080B2A">
      <w:pPr>
        <w:pStyle w:val="Heading3"/>
        <w:numPr>
          <w:ilvl w:val="0"/>
          <w:numId w:val="0"/>
        </w:numPr>
        <w:spacing w:before="0"/>
        <w:ind w:left="2160" w:hanging="2160"/>
        <w:jc w:val="center"/>
        <w:rPr>
          <w:sz w:val="32"/>
          <w:szCs w:val="32"/>
          <w:lang w:val="es-ES"/>
        </w:rPr>
      </w:pPr>
      <w:r w:rsidRPr="00AF69E0">
        <w:rPr>
          <w:sz w:val="32"/>
          <w:szCs w:val="32"/>
          <w:lang w:val="es-ES"/>
        </w:rPr>
        <w:t xml:space="preserve">Anexo 6 </w:t>
      </w:r>
      <w:r>
        <w:rPr>
          <w:sz w:val="32"/>
          <w:szCs w:val="32"/>
          <w:lang w:val="es-ES"/>
        </w:rPr>
        <w:t>–</w:t>
      </w:r>
      <w:r w:rsidRPr="00AF69E0">
        <w:rPr>
          <w:sz w:val="32"/>
          <w:szCs w:val="32"/>
          <w:lang w:val="es-ES"/>
        </w:rPr>
        <w:t xml:space="preserve"> Protocolo de </w:t>
      </w:r>
      <w:r>
        <w:rPr>
          <w:sz w:val="32"/>
          <w:szCs w:val="32"/>
          <w:lang w:val="es-ES"/>
        </w:rPr>
        <w:t>d</w:t>
      </w:r>
      <w:r w:rsidRPr="00AF69E0">
        <w:rPr>
          <w:sz w:val="32"/>
          <w:szCs w:val="32"/>
          <w:lang w:val="es-ES"/>
        </w:rPr>
        <w:t>isposición de equipos y materiales reemplazados</w:t>
      </w:r>
      <w:r>
        <w:rPr>
          <w:sz w:val="32"/>
          <w:szCs w:val="32"/>
          <w:lang w:val="es-ES"/>
        </w:rPr>
        <w:t xml:space="preserve"> </w:t>
      </w:r>
    </w:p>
    <w:p w:rsidR="00AF69E0" w:rsidRDefault="00AF69E0" w:rsidP="00AF69E0">
      <w:pPr>
        <w:rPr>
          <w:lang w:val="es-ES"/>
        </w:rPr>
      </w:pPr>
    </w:p>
    <w:p w:rsidR="00AF69E0" w:rsidRDefault="00AF69E0" w:rsidP="00AF69E0">
      <w:pPr>
        <w:rPr>
          <w:lang w:val="es-ES"/>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Bajo protesta de decir verdad y apercibido de las penas en que inciden quienes declaran falsamente ante una autoridad distinta a la judicial, el firmante de este documento confirma la disposición final de los equipos y materiales reemplazados en el transcurrido del proyecto, asegurando que dichos equipos obsoletos tratados como residuos tengan su adecuada disposición, teniendo evidencia fotográfica de la inhabilitación del equipo obsoleto y manifiesto de Entrega, Transporte y Recepción de Residuos, los cuales pueden ser verificados por las entidades, lo que en caso de omisión o falsedad, podrá cancelar el tramite y/o ejercitar las acciones correspondientes. </w:t>
      </w: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 xml:space="preserve">Descripción del equipo a ser retirado : </w:t>
      </w:r>
      <w:r w:rsidRPr="00AF69E0">
        <w:rPr>
          <w:rFonts w:ascii="Arial" w:hAnsi="Arial" w:cs="Arial"/>
          <w:i/>
          <w:sz w:val="22"/>
          <w:szCs w:val="22"/>
          <w:lang w:val="es-ES_tradnl"/>
        </w:rPr>
        <w:t>ex Motor</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 xml:space="preserve">Nombre del equipo : </w:t>
      </w:r>
      <w:r w:rsidRPr="00AF69E0">
        <w:rPr>
          <w:rFonts w:ascii="Arial" w:hAnsi="Arial" w:cs="Arial"/>
          <w:i/>
          <w:sz w:val="22"/>
          <w:szCs w:val="22"/>
          <w:lang w:val="es-ES_tradnl"/>
        </w:rPr>
        <w:t>ex Motor Corradi</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Modelo : </w:t>
      </w:r>
      <w:r w:rsidRPr="00AF69E0">
        <w:rPr>
          <w:rFonts w:ascii="Arial" w:hAnsi="Arial" w:cs="Arial"/>
          <w:i/>
          <w:sz w:val="22"/>
          <w:szCs w:val="22"/>
          <w:lang w:val="es-ES_tradnl"/>
        </w:rPr>
        <w:t>ex  MTA-200L</w:t>
      </w:r>
    </w:p>
    <w:p w:rsidR="00AF69E0" w:rsidRPr="00AF69E0" w:rsidRDefault="00AF69E0" w:rsidP="00AF69E0">
      <w:pPr>
        <w:rPr>
          <w:rFonts w:ascii="Arial" w:hAnsi="Arial" w:cs="Arial"/>
          <w:i/>
          <w:sz w:val="22"/>
          <w:szCs w:val="22"/>
          <w:lang w:val="es-ES_tradnl"/>
        </w:rPr>
      </w:pPr>
      <w:r w:rsidRPr="00AF69E0">
        <w:rPr>
          <w:rFonts w:ascii="Arial" w:hAnsi="Arial" w:cs="Arial"/>
          <w:sz w:val="22"/>
          <w:szCs w:val="22"/>
          <w:lang w:val="es-ES_tradnl"/>
        </w:rPr>
        <w:t>No de serie : </w:t>
      </w:r>
      <w:r w:rsidRPr="00AF69E0">
        <w:rPr>
          <w:rFonts w:ascii="Arial" w:hAnsi="Arial" w:cs="Arial"/>
          <w:i/>
          <w:sz w:val="22"/>
          <w:szCs w:val="22"/>
          <w:lang w:val="es-ES_tradnl"/>
        </w:rPr>
        <w:t>ex  143567-MGF-0FE</w:t>
      </w: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Usuario (</w:t>
      </w:r>
      <w:r>
        <w:rPr>
          <w:rFonts w:ascii="Arial" w:hAnsi="Arial" w:cs="Arial"/>
          <w:sz w:val="22"/>
          <w:szCs w:val="22"/>
          <w:lang w:val="es-ES_tradnl"/>
        </w:rPr>
        <w:t>sub-</w:t>
      </w:r>
      <w:r w:rsidRPr="00AF69E0">
        <w:rPr>
          <w:rFonts w:ascii="Arial" w:hAnsi="Arial" w:cs="Arial"/>
          <w:sz w:val="22"/>
          <w:szCs w:val="22"/>
          <w:lang w:val="es-ES_tradnl"/>
        </w:rPr>
        <w:t>prestatario)</w:t>
      </w:r>
      <w:r>
        <w:rPr>
          <w:rFonts w:ascii="Arial" w:hAnsi="Arial" w:cs="Arial"/>
          <w:sz w:val="22"/>
          <w:szCs w:val="22"/>
          <w:lang w:val="es-ES_tradnl"/>
        </w:rPr>
        <w:t xml:space="preserve"> </w:t>
      </w:r>
      <w:r w:rsidRPr="00AF69E0">
        <w:rPr>
          <w:rFonts w:ascii="Arial" w:hAnsi="Arial" w:cs="Arial"/>
          <w:sz w:val="22"/>
          <w:szCs w:val="22"/>
          <w:lang w:val="es-ES_tradnl"/>
        </w:rPr>
        <w:t>:</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Firma : </w:t>
      </w:r>
    </w:p>
    <w:p w:rsidR="00AF69E0" w:rsidRPr="00AF69E0" w:rsidRDefault="00AF69E0" w:rsidP="00AF69E0">
      <w:pPr>
        <w:rPr>
          <w:rFonts w:ascii="Arial" w:hAnsi="Arial" w:cs="Arial"/>
          <w:sz w:val="22"/>
          <w:szCs w:val="22"/>
          <w:lang w:val="es-ES_tradnl"/>
        </w:rPr>
      </w:pPr>
      <w:r w:rsidRPr="00AF69E0">
        <w:rPr>
          <w:rFonts w:ascii="Arial" w:hAnsi="Arial" w:cs="Arial"/>
          <w:sz w:val="22"/>
          <w:szCs w:val="22"/>
          <w:lang w:val="es-ES_tradnl"/>
        </w:rPr>
        <w:t>Fecha</w:t>
      </w:r>
      <w:r>
        <w:rPr>
          <w:rFonts w:ascii="Arial" w:hAnsi="Arial" w:cs="Arial"/>
          <w:sz w:val="22"/>
          <w:szCs w:val="22"/>
          <w:lang w:val="es-ES_tradnl"/>
        </w:rPr>
        <w:t xml:space="preserve"> </w:t>
      </w:r>
      <w:r w:rsidRPr="00AF69E0">
        <w:rPr>
          <w:rFonts w:ascii="Arial" w:hAnsi="Arial" w:cs="Arial"/>
          <w:sz w:val="22"/>
          <w:szCs w:val="22"/>
          <w:lang w:val="es-ES_trad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0" w:rsidRDefault="00AF69E0">
    <w:pPr>
      <w:pStyle w:val="Footer"/>
      <w:jc w:val="center"/>
    </w:pPr>
    <w:r>
      <w:fldChar w:fldCharType="begin"/>
    </w:r>
    <w:r>
      <w:instrText xml:space="preserve"> PAGE   \* MERGEFORMAT </w:instrText>
    </w:r>
    <w:r>
      <w:fldChar w:fldCharType="separate"/>
    </w:r>
    <w:r w:rsidR="00136E27">
      <w:rPr>
        <w:noProof/>
      </w:rPr>
      <w:t>4</w:t>
    </w:r>
    <w:r>
      <w:fldChar w:fldCharType="end"/>
    </w:r>
  </w:p>
  <w:p w:rsidR="00AF69E0" w:rsidRDefault="00AF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E0" w:rsidRDefault="00AF69E0">
      <w:r>
        <w:separator/>
      </w:r>
    </w:p>
  </w:footnote>
  <w:footnote w:type="continuationSeparator" w:id="0">
    <w:p w:rsidR="00AF69E0" w:rsidRDefault="00AF69E0">
      <w:r>
        <w:continuationSeparator/>
      </w:r>
    </w:p>
  </w:footnote>
  <w:footnote w:type="continuationNotice" w:id="1">
    <w:p w:rsidR="00AF69E0" w:rsidRDefault="00AF69E0"/>
  </w:footnote>
  <w:footnote w:id="2">
    <w:p w:rsidR="00AF69E0" w:rsidRPr="005043C8" w:rsidRDefault="00AF69E0" w:rsidP="005D73E8">
      <w:pPr>
        <w:pStyle w:val="FootnoteText"/>
        <w:spacing w:after="0"/>
        <w:ind w:left="187" w:hanging="187"/>
        <w:rPr>
          <w:rFonts w:ascii="Arial" w:hAnsi="Arial" w:cs="Arial"/>
          <w:sz w:val="18"/>
          <w:szCs w:val="18"/>
          <w:lang w:val="es-CO"/>
        </w:rPr>
      </w:pPr>
      <w:r w:rsidRPr="005043C8">
        <w:rPr>
          <w:rStyle w:val="FootnoteReference"/>
          <w:rFonts w:ascii="Arial" w:hAnsi="Arial"/>
          <w:sz w:val="18"/>
          <w:szCs w:val="18"/>
          <w:vertAlign w:val="superscript"/>
        </w:rPr>
        <w:footnoteRef/>
      </w:r>
      <w:r w:rsidRPr="005043C8">
        <w:rPr>
          <w:rStyle w:val="FootnoteReference"/>
          <w:rFonts w:ascii="Arial" w:hAnsi="Arial"/>
          <w:sz w:val="18"/>
          <w:szCs w:val="18"/>
          <w:vertAlign w:val="superscript"/>
          <w:lang w:val="es-ES_tradnl"/>
        </w:rPr>
        <w:t xml:space="preserve"> </w:t>
      </w:r>
      <w:r>
        <w:rPr>
          <w:rFonts w:ascii="Arial" w:hAnsi="Arial"/>
          <w:sz w:val="18"/>
          <w:szCs w:val="18"/>
          <w:vertAlign w:val="superscript"/>
          <w:lang w:val="es-ES_tradnl"/>
        </w:rPr>
        <w:t xml:space="preserve">  </w:t>
      </w:r>
      <w:r w:rsidRPr="005043C8">
        <w:rPr>
          <w:rFonts w:ascii="Arial" w:hAnsi="Arial" w:cs="Arial"/>
          <w:sz w:val="18"/>
          <w:szCs w:val="18"/>
          <w:lang w:val="es-CO"/>
        </w:rPr>
        <w:t>Estos recursos están sujetos a las condiciones del Reglamento de Crédi</w:t>
      </w:r>
      <w:r>
        <w:rPr>
          <w:rFonts w:ascii="Arial" w:hAnsi="Arial" w:cs="Arial"/>
          <w:sz w:val="18"/>
          <w:szCs w:val="18"/>
          <w:lang w:val="es-CO"/>
        </w:rPr>
        <w:t xml:space="preserve">to del Préstamo 2949/OC-CO, las </w:t>
      </w:r>
      <w:r w:rsidRPr="005043C8">
        <w:rPr>
          <w:rFonts w:ascii="Arial" w:hAnsi="Arial" w:cs="Arial"/>
          <w:sz w:val="18"/>
          <w:szCs w:val="18"/>
          <w:lang w:val="es-CO"/>
        </w:rPr>
        <w:t>cuales son compatibles con las del presente reglamento.</w:t>
      </w:r>
    </w:p>
  </w:footnote>
  <w:footnote w:id="3">
    <w:p w:rsidR="00AF69E0" w:rsidRPr="005043C8" w:rsidRDefault="00AF69E0" w:rsidP="005D73E8">
      <w:pPr>
        <w:pStyle w:val="FootnoteText"/>
        <w:spacing w:after="0"/>
        <w:ind w:left="187" w:hanging="187"/>
        <w:rPr>
          <w:rFonts w:ascii="Arial" w:hAnsi="Arial" w:cs="Arial"/>
          <w:sz w:val="18"/>
          <w:szCs w:val="18"/>
          <w:lang w:val="es-CO"/>
        </w:rPr>
      </w:pPr>
      <w:r w:rsidRPr="005043C8">
        <w:rPr>
          <w:rStyle w:val="FootnoteReference"/>
          <w:rFonts w:ascii="Arial" w:hAnsi="Arial"/>
          <w:sz w:val="18"/>
          <w:szCs w:val="18"/>
          <w:vertAlign w:val="superscript"/>
        </w:rPr>
        <w:footnoteRef/>
      </w:r>
      <w:r w:rsidRPr="005043C8">
        <w:rPr>
          <w:rFonts w:ascii="Arial" w:hAnsi="Arial" w:cs="Arial"/>
          <w:sz w:val="18"/>
          <w:szCs w:val="18"/>
          <w:lang w:val="es-CO"/>
        </w:rPr>
        <w:t xml:space="preserve"> </w:t>
      </w:r>
      <w:r>
        <w:rPr>
          <w:rFonts w:ascii="Arial" w:hAnsi="Arial" w:cs="Arial"/>
          <w:sz w:val="18"/>
          <w:szCs w:val="18"/>
          <w:lang w:val="es-CO"/>
        </w:rPr>
        <w:t xml:space="preserve"> </w:t>
      </w:r>
      <w:r w:rsidRPr="005043C8">
        <w:rPr>
          <w:rFonts w:ascii="Arial" w:hAnsi="Arial" w:cs="Arial"/>
          <w:sz w:val="18"/>
          <w:szCs w:val="18"/>
          <w:lang w:val="es-ES_tradnl"/>
        </w:rPr>
        <w:t xml:space="preserve">DTF es el promedio ponderado de las tasas de interés de certificados de captación a 90 días ofrecidas por el sistema financiero colombiano. </w:t>
      </w:r>
    </w:p>
  </w:footnote>
  <w:footnote w:id="4">
    <w:tbl>
      <w:tblPr>
        <w:tblW w:w="0" w:type="auto"/>
        <w:tblBorders>
          <w:top w:val="nil"/>
          <w:left w:val="nil"/>
          <w:bottom w:val="nil"/>
          <w:right w:val="nil"/>
        </w:tblBorders>
        <w:tblLayout w:type="fixed"/>
        <w:tblLook w:val="0000" w:firstRow="0" w:lastRow="0" w:firstColumn="0" w:lastColumn="0" w:noHBand="0" w:noVBand="0"/>
      </w:tblPr>
      <w:tblGrid>
        <w:gridCol w:w="7435"/>
      </w:tblGrid>
      <w:tr w:rsidR="00AF69E0" w:rsidRPr="00080B2A">
        <w:trPr>
          <w:trHeight w:val="353"/>
        </w:trPr>
        <w:tc>
          <w:tcPr>
            <w:tcW w:w="7435" w:type="dxa"/>
          </w:tcPr>
          <w:p w:rsidR="00AF69E0" w:rsidRPr="005043C8" w:rsidRDefault="00AF69E0" w:rsidP="005043C8">
            <w:pPr>
              <w:pStyle w:val="FootnoteText"/>
              <w:spacing w:after="0"/>
              <w:ind w:left="187" w:hanging="187"/>
              <w:rPr>
                <w:rFonts w:ascii="Arial" w:hAnsi="Arial" w:cs="Arial"/>
                <w:color w:val="000000"/>
                <w:sz w:val="18"/>
                <w:szCs w:val="18"/>
                <w:lang w:val="es-ES_tradnl" w:eastAsia="es-CO"/>
              </w:rPr>
            </w:pPr>
            <w:r w:rsidRPr="005043C8">
              <w:rPr>
                <w:rStyle w:val="FootnoteReference"/>
                <w:rFonts w:ascii="Arial" w:hAnsi="Arial"/>
                <w:sz w:val="18"/>
                <w:szCs w:val="18"/>
                <w:vertAlign w:val="superscript"/>
              </w:rPr>
              <w:footnoteRef/>
            </w:r>
            <w:r w:rsidRPr="005043C8">
              <w:rPr>
                <w:rFonts w:ascii="Arial" w:hAnsi="Arial" w:cs="Arial"/>
                <w:sz w:val="18"/>
                <w:szCs w:val="18"/>
                <w:vertAlign w:val="superscript"/>
                <w:lang w:val="es-ES_tradnl"/>
              </w:rPr>
              <w:t xml:space="preserve"> </w:t>
            </w:r>
            <w:r>
              <w:rPr>
                <w:rFonts w:ascii="Arial" w:hAnsi="Arial" w:cs="Arial"/>
                <w:sz w:val="18"/>
                <w:szCs w:val="18"/>
                <w:lang w:val="es-ES_tradnl"/>
              </w:rPr>
              <w:t xml:space="preserve"> </w:t>
            </w:r>
            <w:r w:rsidRPr="005043C8">
              <w:rPr>
                <w:rFonts w:ascii="Arial" w:hAnsi="Arial" w:cs="Arial"/>
                <w:sz w:val="18"/>
                <w:szCs w:val="18"/>
                <w:lang w:val="es-ES_tradnl"/>
              </w:rPr>
              <w:t xml:space="preserve">Las inversiones en tecnología hibrida no deberán incrementar la capacidad de diésel instalada y deberán ser hechas de acuerdo con los </w:t>
            </w:r>
            <w:r>
              <w:rPr>
                <w:rFonts w:ascii="Arial" w:hAnsi="Arial" w:cs="Arial"/>
                <w:sz w:val="18"/>
                <w:szCs w:val="18"/>
                <w:lang w:val="es-ES_tradnl"/>
              </w:rPr>
              <w:t>“</w:t>
            </w:r>
            <w:r w:rsidRPr="005043C8">
              <w:rPr>
                <w:rFonts w:ascii="Arial" w:hAnsi="Arial" w:cs="Arial"/>
                <w:color w:val="000000"/>
                <w:sz w:val="18"/>
                <w:szCs w:val="18"/>
                <w:lang w:val="es-ES_tradnl" w:eastAsia="es-CO"/>
              </w:rPr>
              <w:t>Lineamientos para Centrales Eléctricas a Combustibles Fósiles Líquidos y Gaseosos. Un enfoque para conciliar el financiamiento de centrales eléctricas a combustibles fósiles con los objetivos de cambio climático</w:t>
            </w:r>
            <w:r>
              <w:rPr>
                <w:rFonts w:ascii="Arial" w:hAnsi="Arial" w:cs="Arial"/>
                <w:color w:val="000000"/>
                <w:sz w:val="18"/>
                <w:szCs w:val="18"/>
                <w:lang w:val="es-ES_tradnl" w:eastAsia="es-CO"/>
              </w:rPr>
              <w:t xml:space="preserve">”  del BID (documento GN-2685). </w:t>
            </w:r>
            <w:r w:rsidRPr="005043C8">
              <w:rPr>
                <w:rFonts w:ascii="Arial" w:hAnsi="Arial" w:cs="Arial"/>
                <w:color w:val="000000"/>
                <w:sz w:val="18"/>
                <w:szCs w:val="18"/>
                <w:lang w:val="es-ES_tradnl" w:eastAsia="es-CO"/>
              </w:rPr>
              <w:t xml:space="preserve"> </w:t>
            </w:r>
          </w:p>
        </w:tc>
      </w:tr>
    </w:tbl>
    <w:p w:rsidR="00AF69E0" w:rsidRPr="005043C8" w:rsidRDefault="00AF69E0">
      <w:pPr>
        <w:pStyle w:val="FootnoteText"/>
        <w:rPr>
          <w:rFonts w:ascii="Arial" w:hAnsi="Arial" w:cs="Arial"/>
          <w:sz w:val="18"/>
          <w:szCs w:val="18"/>
          <w:lang w:val="es-ES_tradnl"/>
        </w:rPr>
      </w:pPr>
    </w:p>
  </w:footnote>
  <w:footnote w:id="5">
    <w:p w:rsidR="00AF69E0" w:rsidRPr="00E44481" w:rsidRDefault="00AF69E0">
      <w:pPr>
        <w:pStyle w:val="FootnoteText"/>
        <w:rPr>
          <w:rFonts w:ascii="Arial" w:hAnsi="Arial" w:cs="Arial"/>
          <w:sz w:val="18"/>
          <w:szCs w:val="18"/>
          <w:lang w:val="es-ES_tradnl"/>
        </w:rPr>
      </w:pPr>
      <w:r w:rsidRPr="00E44481">
        <w:rPr>
          <w:rStyle w:val="FootnoteReference"/>
          <w:rFonts w:ascii="Arial" w:hAnsi="Arial"/>
          <w:sz w:val="18"/>
          <w:szCs w:val="18"/>
          <w:vertAlign w:val="superscript"/>
        </w:rPr>
        <w:footnoteRef/>
      </w:r>
      <w:r w:rsidRPr="00E44481">
        <w:rPr>
          <w:rFonts w:ascii="Arial" w:hAnsi="Arial" w:cs="Arial"/>
          <w:sz w:val="18"/>
          <w:szCs w:val="18"/>
          <w:lang w:val="es-ES_tradnl"/>
        </w:rPr>
        <w:t xml:space="preserve"> </w:t>
      </w:r>
      <w:hyperlink r:id="rId1" w:history="1">
        <w:r w:rsidRPr="00E44481">
          <w:rPr>
            <w:rStyle w:val="Hyperlink"/>
            <w:rFonts w:ascii="Arial" w:hAnsi="Arial"/>
            <w:sz w:val="18"/>
            <w:szCs w:val="18"/>
            <w:lang w:val="es-ES_tradnl"/>
          </w:rPr>
          <w:t>http://www.ilo.org/declaration/lang--es/index.htm</w:t>
        </w:r>
      </w:hyperlink>
      <w:r>
        <w:rPr>
          <w:rFonts w:ascii="Arial" w:hAnsi="Arial" w:cs="Arial"/>
          <w:sz w:val="18"/>
          <w:szCs w:val="18"/>
          <w:lang w:val="es-ES_tradnl"/>
        </w:rPr>
        <w:t xml:space="preserve">.  </w:t>
      </w:r>
    </w:p>
  </w:footnote>
  <w:footnote w:id="6">
    <w:p w:rsidR="00AF69E0" w:rsidRPr="005B57B7" w:rsidRDefault="00AF69E0" w:rsidP="005B57B7">
      <w:pPr>
        <w:pStyle w:val="FootnoteText"/>
        <w:spacing w:after="0"/>
        <w:ind w:left="187" w:hanging="187"/>
        <w:rPr>
          <w:rFonts w:ascii="Arial" w:hAnsi="Arial" w:cs="Arial"/>
          <w:sz w:val="18"/>
          <w:szCs w:val="18"/>
          <w:lang w:val="es-ES"/>
        </w:rPr>
      </w:pPr>
      <w:r w:rsidRPr="005043C8">
        <w:rPr>
          <w:rStyle w:val="FootnoteReference"/>
          <w:rFonts w:ascii="Arial" w:hAnsi="Arial"/>
          <w:sz w:val="18"/>
          <w:szCs w:val="18"/>
          <w:vertAlign w:val="superscript"/>
        </w:rPr>
        <w:footnoteRef/>
      </w:r>
      <w:r w:rsidRPr="005043C8">
        <w:rPr>
          <w:rFonts w:ascii="Arial" w:hAnsi="Arial" w:cs="Arial"/>
          <w:sz w:val="18"/>
          <w:szCs w:val="18"/>
          <w:lang w:val="es-ES_tradnl"/>
        </w:rPr>
        <w:t xml:space="preserve"> </w:t>
      </w:r>
      <w:r>
        <w:rPr>
          <w:rFonts w:ascii="Arial" w:hAnsi="Arial" w:cs="Arial"/>
          <w:sz w:val="18"/>
          <w:szCs w:val="18"/>
          <w:lang w:val="es-ES_tradnl"/>
        </w:rPr>
        <w:t xml:space="preserve"> </w:t>
      </w:r>
      <w:r w:rsidRPr="005043C8">
        <w:rPr>
          <w:rFonts w:ascii="Arial" w:hAnsi="Arial" w:cs="Arial"/>
          <w:sz w:val="18"/>
          <w:szCs w:val="18"/>
          <w:lang w:val="es-ES_tradnl"/>
        </w:rPr>
        <w:t xml:space="preserve">Bancóldex y el BID acordarán la versión definitiva del formato de este informe en el segundo semestre del 2015. Una vez que se llegue a un acuerdo, se incluirá el formato acordado como un Anexo de este Reglamento Operativo. </w:t>
      </w:r>
      <w:r>
        <w:rPr>
          <w:rFonts w:ascii="Arial" w:hAnsi="Arial" w:cs="Arial"/>
          <w:sz w:val="18"/>
          <w:szCs w:val="18"/>
          <w:lang w:val="es-ES"/>
        </w:rPr>
        <w:t xml:space="preserve"> </w:t>
      </w:r>
      <w:r w:rsidRPr="005043C8">
        <w:rPr>
          <w:rFonts w:ascii="Arial" w:hAnsi="Arial" w:cs="Arial"/>
          <w:sz w:val="18"/>
          <w:szCs w:val="18"/>
          <w:lang w:val="es-ES_tradnl"/>
        </w:rPr>
        <w:t xml:space="preserve"> </w:t>
      </w:r>
    </w:p>
  </w:footnote>
  <w:footnote w:id="7">
    <w:p w:rsidR="00AF69E0" w:rsidRPr="00952B75" w:rsidRDefault="00AF69E0" w:rsidP="003E0A91">
      <w:pPr>
        <w:pStyle w:val="FootnoteText"/>
        <w:rPr>
          <w:lang w:val="es-ES_tradnl"/>
        </w:rPr>
      </w:pPr>
      <w:r w:rsidRPr="00952B75">
        <w:rPr>
          <w:rStyle w:val="FootnoteReference"/>
          <w:lang w:val="es-ES_tradnl"/>
        </w:rPr>
        <w:footnoteRef/>
      </w:r>
      <w:r w:rsidRPr="00952B75">
        <w:rPr>
          <w:lang w:val="es-ES_tradnl"/>
        </w:rPr>
        <w:t xml:space="preserve"> </w:t>
      </w:r>
      <w:r w:rsidRPr="00952B75">
        <w:rPr>
          <w:rFonts w:ascii="Arial" w:hAnsi="Arial" w:cs="Arial"/>
          <w:sz w:val="16"/>
          <w:szCs w:val="16"/>
          <w:lang w:val="es-ES_tradnl"/>
        </w:rPr>
        <w:t>Directiva Presidencial 010 de 2013: Guía para la realización de consulta previa con comunidades étnicas. _ 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E0" w:rsidRPr="00B636A7" w:rsidRDefault="00AF69E0">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0DD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C0836"/>
    <w:multiLevelType w:val="hybridMultilevel"/>
    <w:tmpl w:val="3E5CB788"/>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4692B"/>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7FC9"/>
    <w:multiLevelType w:val="multilevel"/>
    <w:tmpl w:val="E3E8EDA6"/>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4">
    <w:nsid w:val="0F072EEA"/>
    <w:multiLevelType w:val="hybridMultilevel"/>
    <w:tmpl w:val="93DCCF72"/>
    <w:lvl w:ilvl="0" w:tplc="48CAE142">
      <w:start w:val="1"/>
      <w:numFmt w:val="bullet"/>
      <w:lvlText w:val="-"/>
      <w:lvlJc w:val="left"/>
      <w:pPr>
        <w:ind w:left="720" w:hanging="360"/>
      </w:pPr>
      <w:rPr>
        <w:rFonts w:ascii="Arial" w:eastAsia="Times New Roman" w:hAnsi="Arial" w:cs="Arial" w:hint="default"/>
      </w:rPr>
    </w:lvl>
    <w:lvl w:ilvl="1" w:tplc="6A06C60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8CAE142">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704F"/>
    <w:multiLevelType w:val="multilevel"/>
    <w:tmpl w:val="518CD9F0"/>
    <w:lvl w:ilvl="0">
      <w:start w:val="1"/>
      <w:numFmt w:val="upperRoman"/>
      <w:pStyle w:val="ARTICULO"/>
      <w:suff w:val="space"/>
      <w:lvlText w:val="Artículo %1"/>
      <w:lvlJc w:val="left"/>
      <w:pPr>
        <w:ind w:left="0" w:firstLine="0"/>
      </w:pPr>
      <w:rPr>
        <w:rFonts w:hint="default"/>
      </w:rPr>
    </w:lvl>
    <w:lvl w:ilvl="1">
      <w:start w:val="1"/>
      <w:numFmt w:val="decimalZero"/>
      <w:pStyle w:val="SECCION"/>
      <w:isLgl/>
      <w:suff w:val="space"/>
      <w:lvlText w:val="Sección %1.%2"/>
      <w:lvlJc w:val="left"/>
      <w:pPr>
        <w:ind w:left="0" w:firstLine="0"/>
      </w:pPr>
      <w:rPr>
        <w:rFonts w:hint="default"/>
      </w:rPr>
    </w:lvl>
    <w:lvl w:ilvl="2">
      <w:start w:val="1"/>
      <w:numFmt w:val="lowerRoman"/>
      <w:pStyle w:val="INCISO1i"/>
      <w:lvlText w:val="(%3)"/>
      <w:lvlJc w:val="left"/>
      <w:pPr>
        <w:tabs>
          <w:tab w:val="num" w:pos="1080"/>
        </w:tabs>
        <w:ind w:left="720" w:hanging="720"/>
      </w:pPr>
      <w:rPr>
        <w:rFonts w:hint="default"/>
      </w:rPr>
    </w:lvl>
    <w:lvl w:ilvl="3">
      <w:start w:val="1"/>
      <w:numFmt w:val="lowerLetter"/>
      <w:pStyle w:val="INCISO2a"/>
      <w:lvlText w:val="(%4)"/>
      <w:lvlJc w:val="left"/>
      <w:pPr>
        <w:tabs>
          <w:tab w:val="num" w:pos="1440"/>
        </w:tabs>
        <w:ind w:left="1440" w:hanging="720"/>
      </w:pPr>
      <w:rPr>
        <w:rFonts w:hint="default"/>
      </w:rPr>
    </w:lvl>
    <w:lvl w:ilvl="4">
      <w:start w:val="1"/>
      <w:numFmt w:val="upperLetter"/>
      <w:pStyle w:val="INCISO3A"/>
      <w:lvlText w:val="(%5)"/>
      <w:lvlJc w:val="left"/>
      <w:pPr>
        <w:tabs>
          <w:tab w:val="num" w:pos="2160"/>
        </w:tabs>
        <w:ind w:left="2160" w:hanging="720"/>
      </w:pPr>
      <w:rPr>
        <w:rFonts w:hint="default"/>
      </w:rPr>
    </w:lvl>
    <w:lvl w:ilvl="5">
      <w:start w:val="1"/>
      <w:numFmt w:val="upperRoman"/>
      <w:pStyle w:val="Anexo"/>
      <w:suff w:val="space"/>
      <w:lvlText w:val="ANEXO %6"/>
      <w:lvlJc w:val="left"/>
      <w:pPr>
        <w:ind w:left="0" w:firstLine="0"/>
      </w:pPr>
      <w:rPr>
        <w:rFonts w:hint="default"/>
      </w:rPr>
    </w:lvl>
    <w:lvl w:ilvl="6">
      <w:start w:val="1"/>
      <w:numFmt w:val="lowerRoman"/>
      <w:pStyle w:val="IncisoAnexoi"/>
      <w:lvlText w:val="(%7)"/>
      <w:lvlJc w:val="left"/>
      <w:pPr>
        <w:tabs>
          <w:tab w:val="num" w:pos="1080"/>
        </w:tabs>
        <w:ind w:left="720" w:hanging="720"/>
      </w:pPr>
      <w:rPr>
        <w:rFonts w:hint="default"/>
      </w:rPr>
    </w:lvl>
    <w:lvl w:ilvl="7">
      <w:start w:val="1"/>
      <w:numFmt w:val="lowerLetter"/>
      <w:pStyle w:val="IncisoAnexoa"/>
      <w:lvlText w:val="(%8)"/>
      <w:lvlJc w:val="right"/>
      <w:pPr>
        <w:tabs>
          <w:tab w:val="num" w:pos="1440"/>
        </w:tabs>
        <w:ind w:left="1440" w:hanging="720"/>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100C4E95"/>
    <w:multiLevelType w:val="hybridMultilevel"/>
    <w:tmpl w:val="DC82E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F55C3B"/>
    <w:multiLevelType w:val="hybridMultilevel"/>
    <w:tmpl w:val="40AA308C"/>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143D1"/>
    <w:multiLevelType w:val="hybridMultilevel"/>
    <w:tmpl w:val="E67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34453"/>
    <w:multiLevelType w:val="hybridMultilevel"/>
    <w:tmpl w:val="A448E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2772"/>
    <w:multiLevelType w:val="multilevel"/>
    <w:tmpl w:val="ECA40234"/>
    <w:lvl w:ilvl="0">
      <w:start w:val="1"/>
      <w:numFmt w:val="bullet"/>
      <w:lvlText w:val=""/>
      <w:lvlJc w:val="left"/>
      <w:pPr>
        <w:ind w:left="720" w:hanging="432"/>
      </w:pPr>
      <w:rPr>
        <w:rFonts w:ascii="Symbol" w:hAnsi="Symbol" w:hint="default"/>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1">
    <w:nsid w:val="2DAF56F5"/>
    <w:multiLevelType w:val="multilevel"/>
    <w:tmpl w:val="E3E8EDA6"/>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2">
    <w:nsid w:val="34F30331"/>
    <w:multiLevelType w:val="hybridMultilevel"/>
    <w:tmpl w:val="DFE63422"/>
    <w:lvl w:ilvl="0" w:tplc="8FDC957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A79BA"/>
    <w:multiLevelType w:val="hybridMultilevel"/>
    <w:tmpl w:val="593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6515"/>
    <w:multiLevelType w:val="hybridMultilevel"/>
    <w:tmpl w:val="B7A2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B6242"/>
    <w:multiLevelType w:val="hybridMultilevel"/>
    <w:tmpl w:val="20DABD1A"/>
    <w:lvl w:ilvl="0" w:tplc="235A86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480655"/>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6725A"/>
    <w:multiLevelType w:val="hybridMultilevel"/>
    <w:tmpl w:val="3D566F70"/>
    <w:lvl w:ilvl="0" w:tplc="0C0A000B">
      <w:start w:val="1"/>
      <w:numFmt w:val="bullet"/>
      <w:lvlText w:val=""/>
      <w:lvlJc w:val="left"/>
      <w:pPr>
        <w:tabs>
          <w:tab w:val="num" w:pos="720"/>
        </w:tabs>
        <w:ind w:left="720" w:hanging="360"/>
      </w:pPr>
      <w:rPr>
        <w:rFonts w:ascii="Wingdings" w:hAnsi="Wingdings" w:hint="default"/>
      </w:rPr>
    </w:lvl>
    <w:lvl w:ilvl="1" w:tplc="85A48DDC">
      <w:start w:val="1"/>
      <w:numFmt w:val="lowerLetter"/>
      <w:pStyle w:val="Estilo1"/>
      <w:lvlText w:val="%2."/>
      <w:lvlJc w:val="left"/>
      <w:pPr>
        <w:tabs>
          <w:tab w:val="num" w:pos="1440"/>
        </w:tabs>
        <w:ind w:left="1440" w:hanging="360"/>
      </w:pPr>
    </w:lvl>
    <w:lvl w:ilvl="2" w:tplc="0C0A000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2D14A1"/>
    <w:multiLevelType w:val="hybridMultilevel"/>
    <w:tmpl w:val="413E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F1429"/>
    <w:multiLevelType w:val="multilevel"/>
    <w:tmpl w:val="36B892B8"/>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1836"/>
        </w:tabs>
        <w:ind w:left="1836" w:hanging="576"/>
      </w:pPr>
    </w:lvl>
    <w:lvl w:ilvl="2">
      <w:start w:val="1"/>
      <w:numFmt w:val="decimal"/>
      <w:pStyle w:val="Heading3"/>
      <w:lvlText w:val="%1.%2.%3"/>
      <w:lvlJc w:val="left"/>
      <w:pPr>
        <w:tabs>
          <w:tab w:val="num" w:pos="2250"/>
        </w:tabs>
        <w:ind w:left="225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6D577BC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75D1206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98249DA"/>
    <w:multiLevelType w:val="hybridMultilevel"/>
    <w:tmpl w:val="E8161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A513CD1"/>
    <w:multiLevelType w:val="multilevel"/>
    <w:tmpl w:val="CD86392E"/>
    <w:lvl w:ilvl="0">
      <w:start w:val="1"/>
      <w:numFmt w:val="bullet"/>
      <w:lvlText w:val=""/>
      <w:lvlJc w:val="left"/>
      <w:pPr>
        <w:ind w:left="720" w:hanging="432"/>
      </w:pPr>
      <w:rPr>
        <w:rFonts w:ascii="Wingdings" w:hAnsi="Wingdings" w:hint="default"/>
        <w:b/>
        <w:i w:val="0"/>
      </w:rPr>
    </w:lvl>
    <w:lvl w:ilvl="1">
      <w:start w:val="1"/>
      <w:numFmt w:val="decimal"/>
      <w:lvlText w:val="%1.%2"/>
      <w:lvlJc w:val="left"/>
      <w:pPr>
        <w:ind w:left="864" w:hanging="576"/>
      </w:pPr>
    </w:lvl>
    <w:lvl w:ilvl="2">
      <w:start w:val="1"/>
      <w:numFmt w:val="bullet"/>
      <w:lvlText w:val=""/>
      <w:lvlJc w:val="left"/>
      <w:pPr>
        <w:ind w:left="1008" w:hanging="720"/>
      </w:pPr>
      <w:rPr>
        <w:rFonts w:ascii="Symbol" w:hAnsi="Symbol" w:hint="default"/>
      </w:r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24">
    <w:nsid w:val="7B3D38B7"/>
    <w:multiLevelType w:val="hybridMultilevel"/>
    <w:tmpl w:val="1FCACA3C"/>
    <w:lvl w:ilvl="0" w:tplc="209422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7"/>
  </w:num>
  <w:num w:numId="5">
    <w:abstractNumId w:val="0"/>
  </w:num>
  <w:num w:numId="6">
    <w:abstractNumId w:val="13"/>
  </w:num>
  <w:num w:numId="7">
    <w:abstractNumId w:val="9"/>
  </w:num>
  <w:num w:numId="8">
    <w:abstractNumId w:val="14"/>
  </w:num>
  <w:num w:numId="9">
    <w:abstractNumId w:val="22"/>
  </w:num>
  <w:num w:numId="10">
    <w:abstractNumId w:val="6"/>
  </w:num>
  <w:num w:numId="11">
    <w:abstractNumId w:val="11"/>
  </w:num>
  <w:num w:numId="12">
    <w:abstractNumId w:val="23"/>
  </w:num>
  <w:num w:numId="13">
    <w:abstractNumId w:val="10"/>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7"/>
  </w:num>
  <w:num w:numId="28">
    <w:abstractNumId w:val="24"/>
  </w:num>
  <w:num w:numId="29">
    <w:abstractNumId w:val="1"/>
  </w:num>
  <w:num w:numId="30">
    <w:abstractNumId w:val="8"/>
  </w:num>
  <w:num w:numId="31">
    <w:abstractNumId w:val="20"/>
  </w:num>
  <w:num w:numId="32">
    <w:abstractNumId w:val="12"/>
  </w:num>
  <w:num w:numId="33">
    <w:abstractNumId w:val="21"/>
  </w:num>
  <w:num w:numId="34">
    <w:abstractNumId w:val="4"/>
  </w:num>
  <w:num w:numId="35">
    <w:abstractNumId w:val="18"/>
  </w:num>
  <w:num w:numId="36">
    <w:abstractNumId w:val="16"/>
  </w:num>
  <w:num w:numId="37">
    <w:abstractNumId w:val="2"/>
  </w:num>
  <w:num w:numId="38">
    <w:abstractNumId w:val="15"/>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6DE9"/>
    <w:rsid w:val="0000324D"/>
    <w:rsid w:val="00025805"/>
    <w:rsid w:val="0003282A"/>
    <w:rsid w:val="000328BA"/>
    <w:rsid w:val="000335A9"/>
    <w:rsid w:val="000547C4"/>
    <w:rsid w:val="00061CD5"/>
    <w:rsid w:val="000624CB"/>
    <w:rsid w:val="00070EBB"/>
    <w:rsid w:val="00072C1D"/>
    <w:rsid w:val="000751AB"/>
    <w:rsid w:val="000772CF"/>
    <w:rsid w:val="00080B2A"/>
    <w:rsid w:val="00082080"/>
    <w:rsid w:val="0008233B"/>
    <w:rsid w:val="000826C5"/>
    <w:rsid w:val="00095F8C"/>
    <w:rsid w:val="0009679B"/>
    <w:rsid w:val="000A6F52"/>
    <w:rsid w:val="000B151D"/>
    <w:rsid w:val="000B2960"/>
    <w:rsid w:val="000C15A2"/>
    <w:rsid w:val="000C659E"/>
    <w:rsid w:val="000D02AF"/>
    <w:rsid w:val="000D0B82"/>
    <w:rsid w:val="000D2925"/>
    <w:rsid w:val="000D56CA"/>
    <w:rsid w:val="000D5BA2"/>
    <w:rsid w:val="000E1922"/>
    <w:rsid w:val="000F63D0"/>
    <w:rsid w:val="00110F92"/>
    <w:rsid w:val="00120567"/>
    <w:rsid w:val="00121A75"/>
    <w:rsid w:val="00124EFA"/>
    <w:rsid w:val="001343B9"/>
    <w:rsid w:val="00136E27"/>
    <w:rsid w:val="00137301"/>
    <w:rsid w:val="00147619"/>
    <w:rsid w:val="00157A28"/>
    <w:rsid w:val="001657B0"/>
    <w:rsid w:val="0017429A"/>
    <w:rsid w:val="001753E5"/>
    <w:rsid w:val="00175A8B"/>
    <w:rsid w:val="00180F88"/>
    <w:rsid w:val="00192DCD"/>
    <w:rsid w:val="001A3350"/>
    <w:rsid w:val="001A34EB"/>
    <w:rsid w:val="001A5021"/>
    <w:rsid w:val="001A61A6"/>
    <w:rsid w:val="001C091D"/>
    <w:rsid w:val="001E4DE6"/>
    <w:rsid w:val="001F4D83"/>
    <w:rsid w:val="00200832"/>
    <w:rsid w:val="00202D80"/>
    <w:rsid w:val="00204024"/>
    <w:rsid w:val="0020658E"/>
    <w:rsid w:val="00215704"/>
    <w:rsid w:val="00217408"/>
    <w:rsid w:val="00225ADD"/>
    <w:rsid w:val="002263D5"/>
    <w:rsid w:val="00227101"/>
    <w:rsid w:val="00237D0F"/>
    <w:rsid w:val="00241214"/>
    <w:rsid w:val="002441FA"/>
    <w:rsid w:val="0024430A"/>
    <w:rsid w:val="00251169"/>
    <w:rsid w:val="002549E6"/>
    <w:rsid w:val="0025504F"/>
    <w:rsid w:val="00256EB1"/>
    <w:rsid w:val="00275270"/>
    <w:rsid w:val="00280CC3"/>
    <w:rsid w:val="002829DD"/>
    <w:rsid w:val="00286810"/>
    <w:rsid w:val="002868D3"/>
    <w:rsid w:val="002A14BB"/>
    <w:rsid w:val="002A18A9"/>
    <w:rsid w:val="002A1B46"/>
    <w:rsid w:val="002A4E93"/>
    <w:rsid w:val="002A7198"/>
    <w:rsid w:val="002C1D63"/>
    <w:rsid w:val="002C2C51"/>
    <w:rsid w:val="002C7B6E"/>
    <w:rsid w:val="002D42D6"/>
    <w:rsid w:val="002F1D22"/>
    <w:rsid w:val="002F26B1"/>
    <w:rsid w:val="002F484E"/>
    <w:rsid w:val="002F489E"/>
    <w:rsid w:val="00300DC6"/>
    <w:rsid w:val="0030399B"/>
    <w:rsid w:val="00303E44"/>
    <w:rsid w:val="00311027"/>
    <w:rsid w:val="00311CDF"/>
    <w:rsid w:val="00316C96"/>
    <w:rsid w:val="003239F2"/>
    <w:rsid w:val="003365C5"/>
    <w:rsid w:val="00342D90"/>
    <w:rsid w:val="00344ADF"/>
    <w:rsid w:val="00346EF0"/>
    <w:rsid w:val="00355476"/>
    <w:rsid w:val="00366794"/>
    <w:rsid w:val="0036756F"/>
    <w:rsid w:val="00371CD8"/>
    <w:rsid w:val="00372F1E"/>
    <w:rsid w:val="00376DFF"/>
    <w:rsid w:val="003958EA"/>
    <w:rsid w:val="003A7E99"/>
    <w:rsid w:val="003B0C93"/>
    <w:rsid w:val="003B0EC3"/>
    <w:rsid w:val="003B3C45"/>
    <w:rsid w:val="003C5119"/>
    <w:rsid w:val="003C708F"/>
    <w:rsid w:val="003E0A91"/>
    <w:rsid w:val="003E0B1C"/>
    <w:rsid w:val="003E6EEF"/>
    <w:rsid w:val="003F5DF9"/>
    <w:rsid w:val="00402B3A"/>
    <w:rsid w:val="00407018"/>
    <w:rsid w:val="004128B6"/>
    <w:rsid w:val="0041630A"/>
    <w:rsid w:val="00417453"/>
    <w:rsid w:val="00421A4E"/>
    <w:rsid w:val="0043097C"/>
    <w:rsid w:val="004314B8"/>
    <w:rsid w:val="0043599A"/>
    <w:rsid w:val="00437826"/>
    <w:rsid w:val="0044138A"/>
    <w:rsid w:val="004458C4"/>
    <w:rsid w:val="00445E74"/>
    <w:rsid w:val="004464D7"/>
    <w:rsid w:val="00446CDA"/>
    <w:rsid w:val="004626C5"/>
    <w:rsid w:val="00474AFF"/>
    <w:rsid w:val="00483DDC"/>
    <w:rsid w:val="004906D8"/>
    <w:rsid w:val="004952FC"/>
    <w:rsid w:val="004A6D1A"/>
    <w:rsid w:val="004A6E4B"/>
    <w:rsid w:val="004B0E2A"/>
    <w:rsid w:val="004B301E"/>
    <w:rsid w:val="004B44D8"/>
    <w:rsid w:val="004B7D41"/>
    <w:rsid w:val="004C4776"/>
    <w:rsid w:val="004D0129"/>
    <w:rsid w:val="004E39CA"/>
    <w:rsid w:val="004F2CAC"/>
    <w:rsid w:val="0050047E"/>
    <w:rsid w:val="00501050"/>
    <w:rsid w:val="005043C8"/>
    <w:rsid w:val="00521085"/>
    <w:rsid w:val="00522D7B"/>
    <w:rsid w:val="00524C02"/>
    <w:rsid w:val="00532DB7"/>
    <w:rsid w:val="005469BD"/>
    <w:rsid w:val="00550239"/>
    <w:rsid w:val="00551612"/>
    <w:rsid w:val="00551652"/>
    <w:rsid w:val="00556007"/>
    <w:rsid w:val="0056119C"/>
    <w:rsid w:val="005616F8"/>
    <w:rsid w:val="0057287F"/>
    <w:rsid w:val="00581AA2"/>
    <w:rsid w:val="005831DE"/>
    <w:rsid w:val="00591CAD"/>
    <w:rsid w:val="00593CE9"/>
    <w:rsid w:val="00594A04"/>
    <w:rsid w:val="005B1893"/>
    <w:rsid w:val="005B1A42"/>
    <w:rsid w:val="005B57B7"/>
    <w:rsid w:val="005B7009"/>
    <w:rsid w:val="005C0337"/>
    <w:rsid w:val="005C2B13"/>
    <w:rsid w:val="005C4797"/>
    <w:rsid w:val="005C724D"/>
    <w:rsid w:val="005D1B50"/>
    <w:rsid w:val="005D42D0"/>
    <w:rsid w:val="005D73E8"/>
    <w:rsid w:val="005E3857"/>
    <w:rsid w:val="005F0F21"/>
    <w:rsid w:val="005F1167"/>
    <w:rsid w:val="00601B13"/>
    <w:rsid w:val="00605A25"/>
    <w:rsid w:val="0061139C"/>
    <w:rsid w:val="006116BF"/>
    <w:rsid w:val="00621F21"/>
    <w:rsid w:val="00622CC4"/>
    <w:rsid w:val="00632B34"/>
    <w:rsid w:val="00634D4E"/>
    <w:rsid w:val="006438ED"/>
    <w:rsid w:val="00645EB9"/>
    <w:rsid w:val="00654D43"/>
    <w:rsid w:val="006567B2"/>
    <w:rsid w:val="006602C2"/>
    <w:rsid w:val="00660841"/>
    <w:rsid w:val="00672643"/>
    <w:rsid w:val="0068486B"/>
    <w:rsid w:val="006872BC"/>
    <w:rsid w:val="0068736A"/>
    <w:rsid w:val="006A45B8"/>
    <w:rsid w:val="006B6D4C"/>
    <w:rsid w:val="006C6BE0"/>
    <w:rsid w:val="006C70F3"/>
    <w:rsid w:val="006C78E7"/>
    <w:rsid w:val="006D34D7"/>
    <w:rsid w:val="006D48D2"/>
    <w:rsid w:val="006E6A25"/>
    <w:rsid w:val="006E71EB"/>
    <w:rsid w:val="007079D7"/>
    <w:rsid w:val="00711E54"/>
    <w:rsid w:val="00712762"/>
    <w:rsid w:val="00712CA8"/>
    <w:rsid w:val="007277CF"/>
    <w:rsid w:val="00733A50"/>
    <w:rsid w:val="00745137"/>
    <w:rsid w:val="007452A5"/>
    <w:rsid w:val="00751806"/>
    <w:rsid w:val="0075332B"/>
    <w:rsid w:val="00756DE9"/>
    <w:rsid w:val="00761772"/>
    <w:rsid w:val="00767126"/>
    <w:rsid w:val="00780E9E"/>
    <w:rsid w:val="007829CE"/>
    <w:rsid w:val="007846B8"/>
    <w:rsid w:val="00784A1A"/>
    <w:rsid w:val="007962C3"/>
    <w:rsid w:val="007A7948"/>
    <w:rsid w:val="007B2536"/>
    <w:rsid w:val="007B3AE9"/>
    <w:rsid w:val="007B7256"/>
    <w:rsid w:val="007D4346"/>
    <w:rsid w:val="007E04A2"/>
    <w:rsid w:val="007E5049"/>
    <w:rsid w:val="007F207C"/>
    <w:rsid w:val="007F4BC3"/>
    <w:rsid w:val="007F6CEF"/>
    <w:rsid w:val="007F7A3A"/>
    <w:rsid w:val="00804DB6"/>
    <w:rsid w:val="00811EAD"/>
    <w:rsid w:val="00812D93"/>
    <w:rsid w:val="00816F1E"/>
    <w:rsid w:val="00817521"/>
    <w:rsid w:val="00834DE7"/>
    <w:rsid w:val="00837A5B"/>
    <w:rsid w:val="00847A43"/>
    <w:rsid w:val="00850172"/>
    <w:rsid w:val="00851F54"/>
    <w:rsid w:val="00856270"/>
    <w:rsid w:val="00864203"/>
    <w:rsid w:val="00864A1D"/>
    <w:rsid w:val="008678E7"/>
    <w:rsid w:val="00876D52"/>
    <w:rsid w:val="00880145"/>
    <w:rsid w:val="0088393A"/>
    <w:rsid w:val="00897275"/>
    <w:rsid w:val="008A131F"/>
    <w:rsid w:val="008A1A55"/>
    <w:rsid w:val="008A2FB4"/>
    <w:rsid w:val="008A5571"/>
    <w:rsid w:val="008A6A06"/>
    <w:rsid w:val="008B3823"/>
    <w:rsid w:val="008B3AFA"/>
    <w:rsid w:val="008D5FE4"/>
    <w:rsid w:val="008E057B"/>
    <w:rsid w:val="008E3BBD"/>
    <w:rsid w:val="008F2A52"/>
    <w:rsid w:val="008F2D9F"/>
    <w:rsid w:val="00901CA3"/>
    <w:rsid w:val="009028D9"/>
    <w:rsid w:val="00902DE2"/>
    <w:rsid w:val="009118BE"/>
    <w:rsid w:val="009128E2"/>
    <w:rsid w:val="0091388F"/>
    <w:rsid w:val="00922FBD"/>
    <w:rsid w:val="009265B8"/>
    <w:rsid w:val="00930693"/>
    <w:rsid w:val="009363D0"/>
    <w:rsid w:val="009401E8"/>
    <w:rsid w:val="00940709"/>
    <w:rsid w:val="00941AA9"/>
    <w:rsid w:val="009442A2"/>
    <w:rsid w:val="00951537"/>
    <w:rsid w:val="0095158B"/>
    <w:rsid w:val="00954CA1"/>
    <w:rsid w:val="009625D7"/>
    <w:rsid w:val="0096622C"/>
    <w:rsid w:val="00966B26"/>
    <w:rsid w:val="0097078A"/>
    <w:rsid w:val="009720E1"/>
    <w:rsid w:val="009760EB"/>
    <w:rsid w:val="00976B52"/>
    <w:rsid w:val="00980472"/>
    <w:rsid w:val="0098258B"/>
    <w:rsid w:val="00993C47"/>
    <w:rsid w:val="00997002"/>
    <w:rsid w:val="009A5A4C"/>
    <w:rsid w:val="009B1804"/>
    <w:rsid w:val="009C7BF7"/>
    <w:rsid w:val="009D0659"/>
    <w:rsid w:val="009D14B1"/>
    <w:rsid w:val="009D4149"/>
    <w:rsid w:val="009D5D24"/>
    <w:rsid w:val="009E439B"/>
    <w:rsid w:val="009E53C6"/>
    <w:rsid w:val="009F35D0"/>
    <w:rsid w:val="009F753D"/>
    <w:rsid w:val="00A00B98"/>
    <w:rsid w:val="00A14316"/>
    <w:rsid w:val="00A1464B"/>
    <w:rsid w:val="00A32AF7"/>
    <w:rsid w:val="00A376E1"/>
    <w:rsid w:val="00A40E5E"/>
    <w:rsid w:val="00A50A02"/>
    <w:rsid w:val="00A51860"/>
    <w:rsid w:val="00A54415"/>
    <w:rsid w:val="00A6088C"/>
    <w:rsid w:val="00A645AA"/>
    <w:rsid w:val="00A7190B"/>
    <w:rsid w:val="00A75652"/>
    <w:rsid w:val="00A8201C"/>
    <w:rsid w:val="00A82229"/>
    <w:rsid w:val="00A86525"/>
    <w:rsid w:val="00A94DD1"/>
    <w:rsid w:val="00A94FD4"/>
    <w:rsid w:val="00AA446E"/>
    <w:rsid w:val="00AA4D0C"/>
    <w:rsid w:val="00AC0004"/>
    <w:rsid w:val="00AC0391"/>
    <w:rsid w:val="00AC5BA3"/>
    <w:rsid w:val="00AD1C52"/>
    <w:rsid w:val="00AD3453"/>
    <w:rsid w:val="00AD39EA"/>
    <w:rsid w:val="00AD3A64"/>
    <w:rsid w:val="00AE3159"/>
    <w:rsid w:val="00AE4ABD"/>
    <w:rsid w:val="00AF0658"/>
    <w:rsid w:val="00AF1223"/>
    <w:rsid w:val="00AF69E0"/>
    <w:rsid w:val="00B02030"/>
    <w:rsid w:val="00B072D6"/>
    <w:rsid w:val="00B25A7C"/>
    <w:rsid w:val="00B322B4"/>
    <w:rsid w:val="00B43538"/>
    <w:rsid w:val="00B45E85"/>
    <w:rsid w:val="00B47939"/>
    <w:rsid w:val="00B56AB6"/>
    <w:rsid w:val="00B60CDA"/>
    <w:rsid w:val="00B636A7"/>
    <w:rsid w:val="00B65713"/>
    <w:rsid w:val="00B65BCC"/>
    <w:rsid w:val="00B70623"/>
    <w:rsid w:val="00B72CF0"/>
    <w:rsid w:val="00B7315E"/>
    <w:rsid w:val="00B739C3"/>
    <w:rsid w:val="00B7511C"/>
    <w:rsid w:val="00B77C92"/>
    <w:rsid w:val="00B80270"/>
    <w:rsid w:val="00B92C75"/>
    <w:rsid w:val="00B93C89"/>
    <w:rsid w:val="00BA0C86"/>
    <w:rsid w:val="00BA198A"/>
    <w:rsid w:val="00BA6736"/>
    <w:rsid w:val="00BB1D26"/>
    <w:rsid w:val="00BB5A1B"/>
    <w:rsid w:val="00BC02C0"/>
    <w:rsid w:val="00BC25E6"/>
    <w:rsid w:val="00BC3C3E"/>
    <w:rsid w:val="00BC6009"/>
    <w:rsid w:val="00BC6992"/>
    <w:rsid w:val="00BC7A07"/>
    <w:rsid w:val="00BD1894"/>
    <w:rsid w:val="00BD78DD"/>
    <w:rsid w:val="00BE3C0C"/>
    <w:rsid w:val="00BE41C9"/>
    <w:rsid w:val="00BF7E37"/>
    <w:rsid w:val="00C00391"/>
    <w:rsid w:val="00C136B7"/>
    <w:rsid w:val="00C30170"/>
    <w:rsid w:val="00C31CBB"/>
    <w:rsid w:val="00C3570A"/>
    <w:rsid w:val="00C37C52"/>
    <w:rsid w:val="00C404A4"/>
    <w:rsid w:val="00C445B4"/>
    <w:rsid w:val="00C4501A"/>
    <w:rsid w:val="00C503C4"/>
    <w:rsid w:val="00C5245A"/>
    <w:rsid w:val="00C54798"/>
    <w:rsid w:val="00C5631B"/>
    <w:rsid w:val="00C73334"/>
    <w:rsid w:val="00C73F47"/>
    <w:rsid w:val="00C74E20"/>
    <w:rsid w:val="00C77D87"/>
    <w:rsid w:val="00C855BE"/>
    <w:rsid w:val="00C8640D"/>
    <w:rsid w:val="00CB63CD"/>
    <w:rsid w:val="00CD3EE8"/>
    <w:rsid w:val="00CE383C"/>
    <w:rsid w:val="00CE4690"/>
    <w:rsid w:val="00CE7C47"/>
    <w:rsid w:val="00D05405"/>
    <w:rsid w:val="00D075C8"/>
    <w:rsid w:val="00D25292"/>
    <w:rsid w:val="00D32A1C"/>
    <w:rsid w:val="00D343DF"/>
    <w:rsid w:val="00D353E1"/>
    <w:rsid w:val="00D53227"/>
    <w:rsid w:val="00D53539"/>
    <w:rsid w:val="00D5612F"/>
    <w:rsid w:val="00D6151F"/>
    <w:rsid w:val="00D75863"/>
    <w:rsid w:val="00D77FA3"/>
    <w:rsid w:val="00D837CF"/>
    <w:rsid w:val="00D91AFE"/>
    <w:rsid w:val="00D9335D"/>
    <w:rsid w:val="00D93EB7"/>
    <w:rsid w:val="00D94EC5"/>
    <w:rsid w:val="00DA2BB4"/>
    <w:rsid w:val="00DB25AA"/>
    <w:rsid w:val="00DB4BCA"/>
    <w:rsid w:val="00DB55C4"/>
    <w:rsid w:val="00DC7200"/>
    <w:rsid w:val="00DD6ECC"/>
    <w:rsid w:val="00DD7A73"/>
    <w:rsid w:val="00DE3239"/>
    <w:rsid w:val="00DE4EFD"/>
    <w:rsid w:val="00DE5E77"/>
    <w:rsid w:val="00DE7B91"/>
    <w:rsid w:val="00DF4251"/>
    <w:rsid w:val="00DF6A99"/>
    <w:rsid w:val="00E02E03"/>
    <w:rsid w:val="00E1743E"/>
    <w:rsid w:val="00E30397"/>
    <w:rsid w:val="00E35AD2"/>
    <w:rsid w:val="00E40DDF"/>
    <w:rsid w:val="00E44481"/>
    <w:rsid w:val="00E476F6"/>
    <w:rsid w:val="00E50AFA"/>
    <w:rsid w:val="00E579B4"/>
    <w:rsid w:val="00E7250B"/>
    <w:rsid w:val="00E80930"/>
    <w:rsid w:val="00E917AD"/>
    <w:rsid w:val="00E97C53"/>
    <w:rsid w:val="00EA0137"/>
    <w:rsid w:val="00EA1968"/>
    <w:rsid w:val="00EA2B94"/>
    <w:rsid w:val="00EA4F8F"/>
    <w:rsid w:val="00EB2B5A"/>
    <w:rsid w:val="00EB3478"/>
    <w:rsid w:val="00EC4A7B"/>
    <w:rsid w:val="00EC509D"/>
    <w:rsid w:val="00ED1CEB"/>
    <w:rsid w:val="00EF6B69"/>
    <w:rsid w:val="00F04269"/>
    <w:rsid w:val="00F04AC7"/>
    <w:rsid w:val="00F33EAD"/>
    <w:rsid w:val="00F35E16"/>
    <w:rsid w:val="00F41472"/>
    <w:rsid w:val="00F4544A"/>
    <w:rsid w:val="00F53B9E"/>
    <w:rsid w:val="00F53EBF"/>
    <w:rsid w:val="00F55EF5"/>
    <w:rsid w:val="00F604E1"/>
    <w:rsid w:val="00F6108B"/>
    <w:rsid w:val="00F62578"/>
    <w:rsid w:val="00F736FC"/>
    <w:rsid w:val="00F742E0"/>
    <w:rsid w:val="00F80E6A"/>
    <w:rsid w:val="00FA13E8"/>
    <w:rsid w:val="00FA1524"/>
    <w:rsid w:val="00FB31E1"/>
    <w:rsid w:val="00FB357E"/>
    <w:rsid w:val="00FB42CC"/>
    <w:rsid w:val="00FB7DBD"/>
    <w:rsid w:val="00FB7E90"/>
    <w:rsid w:val="00FC3CC2"/>
    <w:rsid w:val="00FC3F2C"/>
    <w:rsid w:val="00FD26D2"/>
    <w:rsid w:val="00FD4633"/>
    <w:rsid w:val="00FE42F7"/>
    <w:rsid w:val="00FE6643"/>
    <w:rsid w:val="00FF0383"/>
    <w:rsid w:val="00FF1E69"/>
    <w:rsid w:val="00FF4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43"/>
    <w:rPr>
      <w:sz w:val="24"/>
      <w:szCs w:val="24"/>
      <w:lang w:val="en-US" w:eastAsia="en-US"/>
    </w:rPr>
  </w:style>
  <w:style w:type="paragraph" w:styleId="Heading1">
    <w:name w:val="heading 1"/>
    <w:basedOn w:val="Normal"/>
    <w:next w:val="Normal"/>
    <w:qFormat/>
    <w:rsid w:val="00FE6643"/>
    <w:pPr>
      <w:keepNext/>
      <w:numPr>
        <w:numId w:val="3"/>
      </w:numPr>
      <w:spacing w:before="240" w:after="60"/>
      <w:outlineLvl w:val="0"/>
    </w:pPr>
    <w:rPr>
      <w:rFonts w:ascii="Arial" w:hAnsi="Arial" w:cs="Arial"/>
      <w:b/>
      <w:bCs/>
      <w:kern w:val="32"/>
      <w:sz w:val="32"/>
      <w:szCs w:val="32"/>
    </w:rPr>
  </w:style>
  <w:style w:type="paragraph" w:styleId="Heading2">
    <w:name w:val="heading 2"/>
    <w:basedOn w:val="Normal"/>
    <w:qFormat/>
    <w:rsid w:val="00FE6643"/>
    <w:pPr>
      <w:numPr>
        <w:ilvl w:val="1"/>
        <w:numId w:val="3"/>
      </w:numPr>
      <w:spacing w:before="270" w:after="100" w:afterAutospacing="1"/>
      <w:outlineLvl w:val="1"/>
    </w:pPr>
    <w:rPr>
      <w:rFonts w:ascii="Arial" w:hAnsi="Arial" w:cs="Arial"/>
      <w:b/>
      <w:bCs/>
      <w:color w:val="666666"/>
      <w:sz w:val="38"/>
      <w:szCs w:val="38"/>
      <w:lang w:val="es-ES" w:eastAsia="es-ES"/>
    </w:rPr>
  </w:style>
  <w:style w:type="paragraph" w:styleId="Heading3">
    <w:name w:val="heading 3"/>
    <w:basedOn w:val="Normal"/>
    <w:next w:val="Normal"/>
    <w:qFormat/>
    <w:rsid w:val="00FE66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FE6643"/>
    <w:pPr>
      <w:keepNext/>
      <w:numPr>
        <w:ilvl w:val="3"/>
        <w:numId w:val="3"/>
      </w:numPr>
      <w:autoSpaceDE w:val="0"/>
      <w:autoSpaceDN w:val="0"/>
      <w:adjustRightInd w:val="0"/>
      <w:spacing w:before="120"/>
      <w:jc w:val="both"/>
      <w:outlineLvl w:val="3"/>
    </w:pPr>
    <w:rPr>
      <w:rFonts w:ascii="Arial" w:hAnsi="Arial" w:cs="Arial"/>
      <w:color w:val="000080"/>
      <w:lang w:val="es-ES" w:eastAsia="es-ES"/>
    </w:rPr>
  </w:style>
  <w:style w:type="paragraph" w:styleId="Heading5">
    <w:name w:val="heading 5"/>
    <w:basedOn w:val="Normal"/>
    <w:next w:val="Normal"/>
    <w:qFormat/>
    <w:rsid w:val="00FE6643"/>
    <w:pPr>
      <w:numPr>
        <w:ilvl w:val="4"/>
        <w:numId w:val="3"/>
      </w:numPr>
      <w:spacing w:before="240" w:after="60"/>
      <w:outlineLvl w:val="4"/>
    </w:pPr>
    <w:rPr>
      <w:b/>
      <w:bCs/>
      <w:i/>
      <w:iCs/>
      <w:sz w:val="26"/>
      <w:szCs w:val="26"/>
    </w:rPr>
  </w:style>
  <w:style w:type="paragraph" w:styleId="Heading6">
    <w:name w:val="heading 6"/>
    <w:basedOn w:val="Normal"/>
    <w:next w:val="Normal"/>
    <w:qFormat/>
    <w:rsid w:val="00FE6643"/>
    <w:pPr>
      <w:numPr>
        <w:ilvl w:val="5"/>
        <w:numId w:val="3"/>
      </w:numPr>
      <w:spacing w:before="240" w:after="60"/>
      <w:outlineLvl w:val="5"/>
    </w:pPr>
    <w:rPr>
      <w:b/>
      <w:bCs/>
      <w:sz w:val="22"/>
      <w:szCs w:val="22"/>
    </w:rPr>
  </w:style>
  <w:style w:type="paragraph" w:styleId="Heading7">
    <w:name w:val="heading 7"/>
    <w:basedOn w:val="Normal"/>
    <w:next w:val="Normal"/>
    <w:qFormat/>
    <w:rsid w:val="00FE6643"/>
    <w:pPr>
      <w:numPr>
        <w:ilvl w:val="6"/>
        <w:numId w:val="3"/>
      </w:numPr>
      <w:spacing w:before="240" w:after="60"/>
      <w:outlineLvl w:val="6"/>
    </w:pPr>
  </w:style>
  <w:style w:type="paragraph" w:styleId="Heading8">
    <w:name w:val="heading 8"/>
    <w:basedOn w:val="Normal"/>
    <w:next w:val="Normal"/>
    <w:qFormat/>
    <w:rsid w:val="00FE6643"/>
    <w:pPr>
      <w:numPr>
        <w:ilvl w:val="7"/>
        <w:numId w:val="3"/>
      </w:numPr>
      <w:spacing w:before="240" w:after="60"/>
      <w:outlineLvl w:val="7"/>
    </w:pPr>
    <w:rPr>
      <w:i/>
      <w:iCs/>
    </w:rPr>
  </w:style>
  <w:style w:type="paragraph" w:styleId="Heading9">
    <w:name w:val="heading 9"/>
    <w:basedOn w:val="Normal"/>
    <w:next w:val="Normal"/>
    <w:qFormat/>
    <w:rsid w:val="00FE664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uerpo1">
    <w:name w:val="texto_cuerpo1"/>
    <w:rsid w:val="00FE6643"/>
    <w:rPr>
      <w:rFonts w:ascii="Verdana" w:hAnsi="Verdana" w:hint="default"/>
      <w:strike w:val="0"/>
      <w:dstrike w:val="0"/>
      <w:color w:val="666666"/>
      <w:sz w:val="17"/>
      <w:szCs w:val="17"/>
      <w:u w:val="none"/>
      <w:effect w:val="none"/>
    </w:rPr>
  </w:style>
  <w:style w:type="character" w:customStyle="1" w:styleId="textocategoria21">
    <w:name w:val="texto_categoria21"/>
    <w:rsid w:val="00FE6643"/>
    <w:rPr>
      <w:rFonts w:ascii="Verdana" w:hAnsi="Verdana" w:hint="default"/>
      <w:b/>
      <w:bCs/>
      <w:strike w:val="0"/>
      <w:dstrike w:val="0"/>
      <w:color w:val="626262"/>
      <w:sz w:val="17"/>
      <w:szCs w:val="17"/>
      <w:u w:val="none"/>
      <w:effect w:val="none"/>
    </w:rPr>
  </w:style>
  <w:style w:type="paragraph" w:customStyle="1" w:styleId="Default">
    <w:name w:val="Default"/>
    <w:rsid w:val="00FE6643"/>
    <w:pPr>
      <w:autoSpaceDE w:val="0"/>
      <w:autoSpaceDN w:val="0"/>
      <w:adjustRightInd w:val="0"/>
    </w:pPr>
    <w:rPr>
      <w:rFonts w:ascii="Arial" w:hAnsi="Arial" w:cs="Arial"/>
      <w:color w:val="000000"/>
      <w:sz w:val="24"/>
      <w:szCs w:val="24"/>
      <w:lang w:val="es-ES" w:eastAsia="es-ES"/>
    </w:rPr>
  </w:style>
  <w:style w:type="paragraph" w:styleId="BodyText">
    <w:name w:val="Body Text"/>
    <w:basedOn w:val="Default"/>
    <w:next w:val="Default"/>
    <w:rsid w:val="00FE6643"/>
    <w:rPr>
      <w:rFonts w:cs="Times New Roman"/>
      <w:color w:val="auto"/>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uiPriority w:val="99"/>
    <w:rsid w:val="00FE6643"/>
    <w:rPr>
      <w:rFonts w:cs="Arial"/>
      <w:color w:val="000000"/>
    </w:rPr>
  </w:style>
  <w:style w:type="paragraph" w:customStyle="1" w:styleId="Normal0">
    <w:name w:val="Normal."/>
    <w:basedOn w:val="Default"/>
    <w:next w:val="Default"/>
    <w:rsid w:val="00FE6643"/>
    <w:rPr>
      <w:rFonts w:cs="Times New Roman"/>
      <w:color w:val="auto"/>
    </w:rPr>
  </w:style>
  <w:style w:type="character" w:styleId="Hyperlink">
    <w:name w:val="Hyperlink"/>
    <w:uiPriority w:val="99"/>
    <w:rsid w:val="00FE6643"/>
    <w:rPr>
      <w:rFonts w:cs="Arial"/>
      <w:color w:val="000000"/>
    </w:rPr>
  </w:style>
  <w:style w:type="paragraph" w:styleId="NormalWeb">
    <w:name w:val="Normal (Web)"/>
    <w:basedOn w:val="Normal"/>
    <w:rsid w:val="00FE6643"/>
    <w:pPr>
      <w:spacing w:before="270" w:after="100" w:afterAutospacing="1" w:line="360" w:lineRule="atLeast"/>
    </w:pPr>
    <w:rPr>
      <w:sz w:val="29"/>
      <w:szCs w:val="29"/>
      <w:lang w:val="es-ES" w:eastAsia="es-ES"/>
    </w:rPr>
  </w:style>
  <w:style w:type="paragraph" w:customStyle="1" w:styleId="ARTICULO">
    <w:name w:val="ARTICULO"/>
    <w:rsid w:val="00FE6643"/>
    <w:pPr>
      <w:keepNext/>
      <w:keepLines/>
      <w:widowControl w:val="0"/>
      <w:numPr>
        <w:numId w:val="1"/>
      </w:numPr>
      <w:spacing w:before="360"/>
      <w:jc w:val="center"/>
      <w:outlineLvl w:val="0"/>
    </w:pPr>
    <w:rPr>
      <w:rFonts w:ascii="Times" w:hAnsi="Times" w:cs="Times"/>
      <w:b/>
      <w:bCs/>
      <w:caps/>
      <w:sz w:val="22"/>
      <w:szCs w:val="22"/>
      <w:lang w:val="es-ES_tradnl" w:eastAsia="en-US"/>
    </w:rPr>
  </w:style>
  <w:style w:type="paragraph" w:customStyle="1" w:styleId="IncisoAnexoi">
    <w:name w:val="IncisoAnexo(i)"/>
    <w:basedOn w:val="Normal"/>
    <w:rsid w:val="00FE6643"/>
    <w:pPr>
      <w:widowControl w:val="0"/>
      <w:numPr>
        <w:ilvl w:val="6"/>
        <w:numId w:val="1"/>
      </w:numPr>
      <w:spacing w:before="120" w:after="120"/>
      <w:jc w:val="both"/>
    </w:pPr>
    <w:rPr>
      <w:sz w:val="22"/>
      <w:szCs w:val="22"/>
    </w:rPr>
  </w:style>
  <w:style w:type="paragraph" w:customStyle="1" w:styleId="SECCION">
    <w:name w:val="SECCION"/>
    <w:basedOn w:val="Normal"/>
    <w:rsid w:val="00FE6643"/>
    <w:pPr>
      <w:widowControl w:val="0"/>
      <w:numPr>
        <w:ilvl w:val="1"/>
        <w:numId w:val="1"/>
      </w:numPr>
      <w:spacing w:before="120" w:after="120"/>
      <w:jc w:val="both"/>
    </w:pPr>
    <w:rPr>
      <w:b/>
      <w:bCs/>
      <w:sz w:val="22"/>
      <w:szCs w:val="22"/>
      <w:lang w:val="es-ES_tradnl"/>
    </w:rPr>
  </w:style>
  <w:style w:type="paragraph" w:customStyle="1" w:styleId="INCISO1i">
    <w:name w:val="INCISO 1 (i)"/>
    <w:basedOn w:val="Normal"/>
    <w:rsid w:val="00FE6643"/>
    <w:pPr>
      <w:widowControl w:val="0"/>
      <w:numPr>
        <w:ilvl w:val="2"/>
        <w:numId w:val="1"/>
      </w:numPr>
      <w:spacing w:before="120" w:after="120"/>
      <w:jc w:val="both"/>
    </w:pPr>
    <w:rPr>
      <w:sz w:val="22"/>
      <w:szCs w:val="22"/>
      <w:lang w:val="es-ES_tradnl"/>
    </w:rPr>
  </w:style>
  <w:style w:type="paragraph" w:customStyle="1" w:styleId="INCISO2a">
    <w:name w:val="INCISO 2 (a)"/>
    <w:basedOn w:val="Normal"/>
    <w:rsid w:val="00FE6643"/>
    <w:pPr>
      <w:widowControl w:val="0"/>
      <w:numPr>
        <w:ilvl w:val="3"/>
        <w:numId w:val="1"/>
      </w:numPr>
      <w:spacing w:before="120" w:after="120"/>
      <w:jc w:val="both"/>
    </w:pPr>
    <w:rPr>
      <w:sz w:val="22"/>
      <w:szCs w:val="22"/>
      <w:lang w:val="es-ES_tradnl"/>
    </w:rPr>
  </w:style>
  <w:style w:type="paragraph" w:customStyle="1" w:styleId="Anexo">
    <w:name w:val="Anexo"/>
    <w:basedOn w:val="Normal"/>
    <w:next w:val="Normal"/>
    <w:semiHidden/>
    <w:rsid w:val="00FE6643"/>
    <w:pPr>
      <w:widowControl w:val="0"/>
      <w:numPr>
        <w:ilvl w:val="5"/>
        <w:numId w:val="1"/>
      </w:numPr>
      <w:tabs>
        <w:tab w:val="left" w:pos="0"/>
      </w:tabs>
      <w:spacing w:before="120" w:after="120"/>
      <w:jc w:val="center"/>
    </w:pPr>
    <w:rPr>
      <w:rFonts w:ascii="Times New Roman Bold" w:hAnsi="Times New Roman Bold" w:cs="Times New Roman Bold"/>
      <w:b/>
      <w:bCs/>
      <w:sz w:val="22"/>
      <w:szCs w:val="22"/>
      <w:lang w:val="es-ES_tradnl"/>
    </w:rPr>
  </w:style>
  <w:style w:type="paragraph" w:customStyle="1" w:styleId="INCISO3A">
    <w:name w:val="INCISO 3 (A)"/>
    <w:basedOn w:val="Normal"/>
    <w:rsid w:val="00FE6643"/>
    <w:pPr>
      <w:widowControl w:val="0"/>
      <w:numPr>
        <w:ilvl w:val="4"/>
        <w:numId w:val="1"/>
      </w:numPr>
      <w:spacing w:before="120" w:after="120"/>
      <w:jc w:val="both"/>
    </w:pPr>
    <w:rPr>
      <w:sz w:val="22"/>
      <w:szCs w:val="22"/>
    </w:rPr>
  </w:style>
  <w:style w:type="paragraph" w:customStyle="1" w:styleId="IncisoAnexoa">
    <w:name w:val="IncisoAnexo (a)"/>
    <w:basedOn w:val="INCISO2a"/>
    <w:rsid w:val="00FE6643"/>
    <w:pPr>
      <w:numPr>
        <w:ilvl w:val="7"/>
      </w:numPr>
    </w:pPr>
  </w:style>
  <w:style w:type="paragraph" w:customStyle="1" w:styleId="Chapter">
    <w:name w:val="Chapter"/>
    <w:basedOn w:val="Normal"/>
    <w:next w:val="Normal"/>
    <w:rsid w:val="00712762"/>
    <w:pPr>
      <w:keepNext/>
      <w:tabs>
        <w:tab w:val="num" w:pos="648"/>
        <w:tab w:val="left" w:pos="1440"/>
      </w:tabs>
      <w:spacing w:before="240" w:after="240"/>
      <w:ind w:firstLine="288"/>
      <w:jc w:val="center"/>
    </w:pPr>
    <w:rPr>
      <w:b/>
      <w:smallCaps/>
      <w:lang w:val="es-ES"/>
    </w:rPr>
  </w:style>
  <w:style w:type="paragraph" w:customStyle="1" w:styleId="Paragraph">
    <w:name w:val="Paragraph"/>
    <w:aliases w:val="paragraph,p,PARAGRAPH,PG,pa,at"/>
    <w:basedOn w:val="BodyTextIndent"/>
    <w:link w:val="ParagraphChar"/>
    <w:qFormat/>
    <w:rsid w:val="00712762"/>
    <w:pPr>
      <w:tabs>
        <w:tab w:val="num" w:pos="720"/>
      </w:tabs>
      <w:spacing w:before="120"/>
      <w:ind w:left="720" w:hanging="720"/>
      <w:jc w:val="both"/>
      <w:outlineLvl w:val="1"/>
    </w:pPr>
    <w:rPr>
      <w:snapToGrid/>
      <w:lang w:val="es-ES"/>
    </w:rPr>
  </w:style>
  <w:style w:type="paragraph" w:styleId="BodyTextIndent">
    <w:name w:val="Body Text Indent"/>
    <w:basedOn w:val="Normal"/>
    <w:rsid w:val="00712762"/>
    <w:pPr>
      <w:spacing w:after="120"/>
      <w:ind w:left="360"/>
    </w:pPr>
    <w:rPr>
      <w:snapToGrid w:val="0"/>
    </w:rPr>
  </w:style>
  <w:style w:type="paragraph" w:customStyle="1" w:styleId="subpar">
    <w:name w:val="subpar"/>
    <w:basedOn w:val="BodyTextIndent3"/>
    <w:link w:val="subparChar"/>
    <w:rsid w:val="00712762"/>
    <w:pPr>
      <w:tabs>
        <w:tab w:val="num" w:pos="1152"/>
      </w:tabs>
      <w:spacing w:before="120"/>
      <w:ind w:left="1152" w:hanging="432"/>
      <w:jc w:val="both"/>
      <w:outlineLvl w:val="2"/>
    </w:pPr>
    <w:rPr>
      <w:szCs w:val="20"/>
      <w:lang w:val="es-ES_tradnl"/>
    </w:rPr>
  </w:style>
  <w:style w:type="paragraph" w:customStyle="1" w:styleId="Textodeglobo1">
    <w:name w:val="Texto de globo1"/>
    <w:basedOn w:val="Normal"/>
    <w:semiHidden/>
    <w:rsid w:val="00FE6643"/>
    <w:rPr>
      <w:rFonts w:ascii="Tahoma" w:hAnsi="Tahoma" w:cs="Tahoma"/>
      <w:sz w:val="16"/>
      <w:szCs w:val="16"/>
    </w:rPr>
  </w:style>
  <w:style w:type="paragraph" w:styleId="BodyTextIndent3">
    <w:name w:val="Body Text Indent 3"/>
    <w:basedOn w:val="Normal"/>
    <w:rsid w:val="00FE6643"/>
    <w:pPr>
      <w:spacing w:after="120"/>
      <w:ind w:left="360"/>
    </w:pPr>
    <w:rPr>
      <w:szCs w:val="16"/>
    </w:rPr>
  </w:style>
  <w:style w:type="paragraph" w:styleId="Header">
    <w:name w:val="header"/>
    <w:basedOn w:val="Normal"/>
    <w:rsid w:val="00FE6643"/>
    <w:pPr>
      <w:tabs>
        <w:tab w:val="center" w:pos="4252"/>
        <w:tab w:val="right" w:pos="8504"/>
      </w:tabs>
    </w:pPr>
    <w:rPr>
      <w:lang w:val="es-ES" w:eastAsia="es-ES"/>
    </w:rPr>
  </w:style>
  <w:style w:type="paragraph" w:customStyle="1" w:styleId="xl30">
    <w:name w:val="xl30"/>
    <w:basedOn w:val="Normal"/>
    <w:rsid w:val="00FE6643"/>
    <w:pPr>
      <w:pBdr>
        <w:lef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styleId="TOC1">
    <w:name w:val="toc 1"/>
    <w:basedOn w:val="Normal"/>
    <w:next w:val="Normal"/>
    <w:autoRedefine/>
    <w:uiPriority w:val="39"/>
    <w:rsid w:val="003C708F"/>
    <w:pPr>
      <w:tabs>
        <w:tab w:val="right" w:leader="dot" w:pos="8741"/>
      </w:tabs>
      <w:spacing w:before="120" w:after="120"/>
      <w:ind w:left="547" w:hanging="547"/>
    </w:pPr>
    <w:rPr>
      <w:smallCaps/>
    </w:rPr>
  </w:style>
  <w:style w:type="paragraph" w:styleId="TOC2">
    <w:name w:val="toc 2"/>
    <w:basedOn w:val="Normal"/>
    <w:next w:val="Normal"/>
    <w:autoRedefine/>
    <w:uiPriority w:val="39"/>
    <w:rsid w:val="00FE6643"/>
    <w:pPr>
      <w:tabs>
        <w:tab w:val="left" w:pos="1152"/>
        <w:tab w:val="right" w:leader="dot" w:pos="8741"/>
      </w:tabs>
      <w:ind w:left="1166" w:hanging="605"/>
    </w:pPr>
  </w:style>
  <w:style w:type="paragraph" w:styleId="TOC3">
    <w:name w:val="toc 3"/>
    <w:basedOn w:val="Normal"/>
    <w:next w:val="Normal"/>
    <w:autoRedefine/>
    <w:uiPriority w:val="39"/>
    <w:rsid w:val="00FE6643"/>
    <w:pPr>
      <w:tabs>
        <w:tab w:val="left" w:pos="1728"/>
        <w:tab w:val="right" w:leader="dot" w:pos="8741"/>
      </w:tabs>
      <w:ind w:left="1714" w:hanging="562"/>
    </w:p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rsid w:val="00FE6643"/>
    <w:pPr>
      <w:keepNext/>
      <w:keepLines/>
      <w:spacing w:after="120"/>
      <w:ind w:left="288" w:hanging="288"/>
      <w:jc w:val="both"/>
    </w:pPr>
    <w:rPr>
      <w:spacing w:val="-3"/>
      <w:sz w:val="20"/>
    </w:rPr>
  </w:style>
  <w:style w:type="paragraph" w:customStyle="1" w:styleId="Estilo1">
    <w:name w:val="Estilo1"/>
    <w:basedOn w:val="TOC4"/>
    <w:rsid w:val="00FE6643"/>
    <w:pPr>
      <w:numPr>
        <w:ilvl w:val="1"/>
        <w:numId w:val="4"/>
      </w:numPr>
      <w:autoSpaceDE w:val="0"/>
      <w:autoSpaceDN w:val="0"/>
      <w:adjustRightInd w:val="0"/>
      <w:spacing w:before="120"/>
      <w:jc w:val="both"/>
    </w:pPr>
    <w:rPr>
      <w:rFonts w:ascii="Arial" w:hAnsi="Arial" w:cs="Arial"/>
      <w:b/>
      <w:bCs/>
      <w:lang w:val="es-ES" w:eastAsia="es-ES"/>
    </w:rPr>
  </w:style>
  <w:style w:type="paragraph" w:customStyle="1" w:styleId="Estilo2">
    <w:name w:val="Estilo2"/>
    <w:basedOn w:val="Title"/>
    <w:rsid w:val="00FE6643"/>
  </w:style>
  <w:style w:type="paragraph" w:styleId="TOC4">
    <w:name w:val="toc 4"/>
    <w:basedOn w:val="Normal"/>
    <w:next w:val="Normal"/>
    <w:autoRedefine/>
    <w:semiHidden/>
    <w:rsid w:val="00FE6643"/>
    <w:pPr>
      <w:ind w:left="600"/>
    </w:pPr>
  </w:style>
  <w:style w:type="character" w:styleId="CommentReference">
    <w:name w:val="annotation reference"/>
    <w:uiPriority w:val="99"/>
    <w:semiHidden/>
    <w:rsid w:val="00FE6643"/>
    <w:rPr>
      <w:sz w:val="16"/>
      <w:szCs w:val="16"/>
    </w:rPr>
  </w:style>
  <w:style w:type="paragraph" w:styleId="Title">
    <w:name w:val="Title"/>
    <w:basedOn w:val="Normal"/>
    <w:qFormat/>
    <w:rsid w:val="00FE6643"/>
    <w:pPr>
      <w:spacing w:before="240" w:after="6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FE6643"/>
    <w:rPr>
      <w:lang w:val="x-none" w:eastAsia="x-none"/>
    </w:rPr>
  </w:style>
  <w:style w:type="paragraph" w:customStyle="1" w:styleId="Asuntodelcomentario1">
    <w:name w:val="Asunto del comentario1"/>
    <w:basedOn w:val="CommentText"/>
    <w:next w:val="CommentText"/>
    <w:rsid w:val="00FE6643"/>
    <w:rPr>
      <w:b/>
      <w:bCs/>
    </w:rPr>
  </w:style>
  <w:style w:type="character" w:customStyle="1" w:styleId="TextocomentarioCar">
    <w:name w:val="Texto comentario Car"/>
    <w:uiPriority w:val="99"/>
    <w:semiHidden/>
    <w:rsid w:val="00FE6643"/>
    <w:rPr>
      <w:lang w:val="en-US" w:eastAsia="en-US"/>
    </w:rPr>
  </w:style>
  <w:style w:type="character" w:customStyle="1" w:styleId="AsuntodelcomentarioCar">
    <w:name w:val="Asunto del comentario Car"/>
    <w:rsid w:val="00FE6643"/>
    <w:rPr>
      <w:lang w:val="en-US" w:eastAsia="en-US"/>
    </w:rPr>
  </w:style>
  <w:style w:type="paragraph" w:styleId="CommentSubject">
    <w:name w:val="annotation subject"/>
    <w:basedOn w:val="CommentText"/>
    <w:next w:val="CommentText"/>
    <w:semiHidden/>
    <w:rsid w:val="00FE6643"/>
    <w:rPr>
      <w:b/>
      <w:bCs/>
    </w:rPr>
  </w:style>
  <w:style w:type="paragraph" w:styleId="BalloonText">
    <w:name w:val="Balloon Text"/>
    <w:basedOn w:val="Normal"/>
    <w:semiHidden/>
    <w:rsid w:val="00FE6643"/>
    <w:rPr>
      <w:rFonts w:ascii="Tahoma" w:hAnsi="Tahoma" w:cs="Tahoma"/>
      <w:sz w:val="16"/>
      <w:szCs w:val="16"/>
    </w:rPr>
  </w:style>
  <w:style w:type="character" w:styleId="FollowedHyperlink">
    <w:name w:val="FollowedHyperlink"/>
    <w:rsid w:val="00FE6643"/>
    <w:rPr>
      <w:color w:val="800080"/>
      <w:u w:val="single"/>
    </w:rPr>
  </w:style>
  <w:style w:type="paragraph" w:styleId="ListParagraph">
    <w:name w:val="List Paragraph"/>
    <w:basedOn w:val="Normal"/>
    <w:uiPriority w:val="34"/>
    <w:qFormat/>
    <w:rsid w:val="001343B9"/>
    <w:pPr>
      <w:spacing w:after="200" w:line="276" w:lineRule="auto"/>
      <w:ind w:left="720"/>
    </w:pPr>
    <w:rPr>
      <w:rFonts w:ascii="Calibri" w:eastAsia="Calibri" w:hAnsi="Calibri"/>
      <w:sz w:val="22"/>
      <w:szCs w:val="22"/>
    </w:rPr>
  </w:style>
  <w:style w:type="paragraph" w:styleId="BodyText2">
    <w:name w:val="Body Text 2"/>
    <w:basedOn w:val="Normal"/>
    <w:link w:val="BodyText2Char"/>
    <w:rsid w:val="0095158B"/>
    <w:pPr>
      <w:spacing w:after="120" w:line="480" w:lineRule="auto"/>
    </w:pPr>
  </w:style>
  <w:style w:type="character" w:customStyle="1" w:styleId="BodyText2Char">
    <w:name w:val="Body Text 2 Char"/>
    <w:basedOn w:val="DefaultParagraphFont"/>
    <w:link w:val="BodyText2"/>
    <w:rsid w:val="0095158B"/>
  </w:style>
  <w:style w:type="paragraph" w:customStyle="1" w:styleId="CLEDSchedAnnexTitle">
    <w:name w:val="CLED Sched./Annex Title"/>
    <w:basedOn w:val="Normal"/>
    <w:link w:val="CLEDSchedAnnexTitleChar"/>
    <w:rsid w:val="0095158B"/>
    <w:pPr>
      <w:jc w:val="center"/>
    </w:pPr>
    <w:rPr>
      <w:szCs w:val="20"/>
      <w:u w:val="single"/>
      <w:lang w:val="x-none" w:eastAsia="x-none"/>
    </w:rPr>
  </w:style>
  <w:style w:type="character" w:customStyle="1" w:styleId="CLEDSchedAnnexTitleChar">
    <w:name w:val="CLED Sched./Annex Title Char"/>
    <w:link w:val="CLEDSchedAnnexTitle"/>
    <w:rsid w:val="0095158B"/>
    <w:rPr>
      <w:sz w:val="24"/>
      <w:u w:val="single"/>
    </w:rPr>
  </w:style>
  <w:style w:type="paragraph" w:customStyle="1" w:styleId="FaxInfo">
    <w:name w:val="Fax Info"/>
    <w:basedOn w:val="Header"/>
    <w:rsid w:val="0095158B"/>
    <w:pPr>
      <w:tabs>
        <w:tab w:val="clear" w:pos="4252"/>
        <w:tab w:val="clear" w:pos="8504"/>
      </w:tabs>
    </w:pPr>
    <w:rPr>
      <w:b/>
      <w:lang w:val="en-US" w:eastAsia="en-US"/>
    </w:rPr>
  </w:style>
  <w:style w:type="paragraph" w:styleId="ListBullet">
    <w:name w:val="List Bullet"/>
    <w:basedOn w:val="Normal"/>
    <w:rsid w:val="0095158B"/>
    <w:pPr>
      <w:widowControl w:val="0"/>
      <w:numPr>
        <w:numId w:val="5"/>
      </w:numPr>
      <w:tabs>
        <w:tab w:val="left" w:pos="360"/>
      </w:tabs>
    </w:pPr>
    <w:rPr>
      <w:lang w:val="en-AU"/>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link w:val="FootnoteText"/>
    <w:uiPriority w:val="99"/>
    <w:locked/>
    <w:rsid w:val="0095158B"/>
    <w:rPr>
      <w:spacing w:val="-3"/>
      <w:szCs w:val="24"/>
      <w:lang w:val="en-US" w:eastAsia="en-US"/>
    </w:rPr>
  </w:style>
  <w:style w:type="paragraph" w:customStyle="1" w:styleId="CLEDSchedAnnexNo">
    <w:name w:val="CLED Sched./Annex No."/>
    <w:basedOn w:val="Normal"/>
    <w:rsid w:val="002F1D22"/>
    <w:pPr>
      <w:keepNext/>
      <w:jc w:val="right"/>
    </w:pPr>
    <w:rPr>
      <w:u w:val="single"/>
    </w:rPr>
  </w:style>
  <w:style w:type="paragraph" w:styleId="Revision">
    <w:name w:val="Revision"/>
    <w:hidden/>
    <w:uiPriority w:val="99"/>
    <w:semiHidden/>
    <w:rsid w:val="00C5245A"/>
    <w:rPr>
      <w:sz w:val="24"/>
      <w:szCs w:val="24"/>
      <w:lang w:val="en-US" w:eastAsia="en-US"/>
    </w:rPr>
  </w:style>
  <w:style w:type="paragraph" w:styleId="Footer">
    <w:name w:val="footer"/>
    <w:basedOn w:val="Normal"/>
    <w:link w:val="FooterChar"/>
    <w:uiPriority w:val="99"/>
    <w:rsid w:val="00521085"/>
    <w:pPr>
      <w:tabs>
        <w:tab w:val="center" w:pos="4320"/>
        <w:tab w:val="right" w:pos="8640"/>
      </w:tabs>
    </w:pPr>
  </w:style>
  <w:style w:type="character" w:customStyle="1" w:styleId="FooterChar">
    <w:name w:val="Footer Char"/>
    <w:basedOn w:val="DefaultParagraphFont"/>
    <w:link w:val="Footer"/>
    <w:uiPriority w:val="99"/>
    <w:rsid w:val="00521085"/>
  </w:style>
  <w:style w:type="character" w:customStyle="1" w:styleId="FootnoteTextChar1">
    <w:name w:val="Footnote Text Char1"/>
    <w:semiHidden/>
    <w:locked/>
    <w:rsid w:val="004B301E"/>
    <w:rPr>
      <w:rFonts w:ascii="Times New Roman" w:eastAsia="Calibri" w:hAnsi="Times New Roman" w:cs="Times New Roman"/>
      <w:sz w:val="24"/>
      <w:szCs w:val="20"/>
    </w:rPr>
  </w:style>
  <w:style w:type="table" w:styleId="TableGrid">
    <w:name w:val="Table Grid"/>
    <w:basedOn w:val="TableNormal"/>
    <w:rsid w:val="008E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FF1E69"/>
    <w:rPr>
      <w:sz w:val="24"/>
      <w:szCs w:val="24"/>
    </w:rPr>
  </w:style>
  <w:style w:type="paragraph" w:customStyle="1" w:styleId="SubSubPar">
    <w:name w:val="SubSubPar"/>
    <w:basedOn w:val="subpar"/>
    <w:rsid w:val="00622CC4"/>
    <w:pPr>
      <w:tabs>
        <w:tab w:val="clear" w:pos="1152"/>
        <w:tab w:val="left" w:pos="0"/>
        <w:tab w:val="num" w:pos="1296"/>
      </w:tabs>
      <w:ind w:left="1296" w:hanging="288"/>
    </w:pPr>
    <w:rPr>
      <w:lang w:eastAsia="es-MX"/>
    </w:rPr>
  </w:style>
  <w:style w:type="character" w:customStyle="1" w:styleId="ParagraphChar">
    <w:name w:val="Paragraph Char"/>
    <w:link w:val="Paragraph"/>
    <w:rsid w:val="00622CC4"/>
    <w:rPr>
      <w:sz w:val="24"/>
      <w:szCs w:val="24"/>
      <w:lang w:val="es-ES" w:eastAsia="en-US"/>
    </w:rPr>
  </w:style>
  <w:style w:type="character" w:customStyle="1" w:styleId="subparChar">
    <w:name w:val="subpar Char"/>
    <w:link w:val="subpar"/>
    <w:rsid w:val="00622CC4"/>
    <w:rPr>
      <w:sz w:val="24"/>
      <w:lang w:val="es-ES_tradnl" w:eastAsia="en-US"/>
    </w:rPr>
  </w:style>
  <w:style w:type="paragraph" w:styleId="TOCHeading">
    <w:name w:val="TOC Heading"/>
    <w:basedOn w:val="Heading1"/>
    <w:next w:val="Normal"/>
    <w:uiPriority w:val="39"/>
    <w:unhideWhenUsed/>
    <w:qFormat/>
    <w:rsid w:val="007127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irstHeading">
    <w:name w:val="FirstHeading"/>
    <w:basedOn w:val="Normal"/>
    <w:next w:val="Normal"/>
    <w:link w:val="FirstHeadingChar"/>
    <w:rsid w:val="00712762"/>
    <w:pPr>
      <w:keepNext/>
      <w:tabs>
        <w:tab w:val="left" w:pos="0"/>
        <w:tab w:val="left" w:pos="86"/>
      </w:tabs>
      <w:spacing w:before="120" w:after="120"/>
      <w:ind w:left="720" w:hanging="720"/>
    </w:pPr>
    <w:rPr>
      <w:rFonts w:eastAsia="Arial Unicode MS"/>
      <w:b/>
      <w:szCs w:val="26"/>
      <w:lang w:val="es-ES_tradnl"/>
    </w:rPr>
  </w:style>
  <w:style w:type="character" w:customStyle="1" w:styleId="FirstHeadingChar">
    <w:name w:val="FirstHeading Char"/>
    <w:basedOn w:val="DefaultParagraphFont"/>
    <w:link w:val="FirstHeading"/>
    <w:rsid w:val="00712762"/>
    <w:rPr>
      <w:rFonts w:eastAsia="Arial Unicode MS"/>
      <w:b/>
      <w:sz w:val="24"/>
      <w:szCs w:val="26"/>
      <w:lang w:val="es-ES_tradnl" w:eastAsia="en-US"/>
    </w:rPr>
  </w:style>
  <w:style w:type="paragraph" w:customStyle="1" w:styleId="SecHeading">
    <w:name w:val="SecHeading"/>
    <w:basedOn w:val="Normal"/>
    <w:next w:val="Paragraph"/>
    <w:link w:val="SecHeadingChar"/>
    <w:rsid w:val="00712762"/>
    <w:pPr>
      <w:keepNext/>
      <w:tabs>
        <w:tab w:val="num" w:pos="1296"/>
      </w:tabs>
      <w:spacing w:before="120" w:after="120"/>
      <w:ind w:left="1296" w:hanging="576"/>
    </w:pPr>
    <w:rPr>
      <w:rFonts w:eastAsia="Arial Unicode MS"/>
      <w:b/>
      <w:szCs w:val="26"/>
      <w:lang w:val="es-ES_tradnl"/>
    </w:rPr>
  </w:style>
  <w:style w:type="character" w:customStyle="1" w:styleId="SecHeadingChar">
    <w:name w:val="SecHeading Char"/>
    <w:basedOn w:val="DefaultParagraphFont"/>
    <w:link w:val="SecHeading"/>
    <w:rsid w:val="00712762"/>
    <w:rPr>
      <w:rFonts w:eastAsia="Arial Unicode MS"/>
      <w:b/>
      <w:sz w:val="24"/>
      <w:szCs w:val="26"/>
      <w:lang w:val="es-ES_tradnl" w:eastAsia="en-US"/>
    </w:rPr>
  </w:style>
  <w:style w:type="paragraph" w:customStyle="1" w:styleId="SubHeading1">
    <w:name w:val="SubHeading1"/>
    <w:basedOn w:val="SecHeading"/>
    <w:link w:val="SubHeading1Char"/>
    <w:rsid w:val="00712762"/>
    <w:pPr>
      <w:tabs>
        <w:tab w:val="clear" w:pos="1296"/>
        <w:tab w:val="num" w:pos="1872"/>
      </w:tabs>
      <w:ind w:left="1872"/>
    </w:pPr>
  </w:style>
  <w:style w:type="character" w:customStyle="1" w:styleId="SubHeading1Char">
    <w:name w:val="SubHeading1 Char"/>
    <w:basedOn w:val="DefaultParagraphFont"/>
    <w:link w:val="SubHeading1"/>
    <w:rsid w:val="00712762"/>
    <w:rPr>
      <w:rFonts w:eastAsia="Arial Unicode MS"/>
      <w:b/>
      <w:sz w:val="24"/>
      <w:szCs w:val="26"/>
      <w:lang w:val="es-ES_tradnl" w:eastAsia="en-US"/>
    </w:rPr>
  </w:style>
  <w:style w:type="paragraph" w:customStyle="1" w:styleId="Subheading2">
    <w:name w:val="Subheading2"/>
    <w:basedOn w:val="SecHeading"/>
    <w:link w:val="Subheading2Char"/>
    <w:rsid w:val="00712762"/>
    <w:pPr>
      <w:tabs>
        <w:tab w:val="clear" w:pos="1296"/>
        <w:tab w:val="num" w:pos="2376"/>
      </w:tabs>
      <w:ind w:left="2376" w:hanging="288"/>
    </w:pPr>
  </w:style>
  <w:style w:type="character" w:customStyle="1" w:styleId="Subheading2Char">
    <w:name w:val="Subheading2 Char"/>
    <w:basedOn w:val="DefaultParagraphFont"/>
    <w:link w:val="Subheading2"/>
    <w:rsid w:val="00712762"/>
    <w:rPr>
      <w:rFonts w:eastAsia="Arial Unicode MS"/>
      <w:b/>
      <w:sz w:val="24"/>
      <w:szCs w:val="26"/>
      <w:lang w:val="es-ES_tradnl" w:eastAsia="en-US"/>
    </w:rPr>
  </w:style>
  <w:style w:type="paragraph" w:customStyle="1" w:styleId="Regtable">
    <w:name w:val="Regtable"/>
    <w:basedOn w:val="Normal"/>
    <w:link w:val="RegtableChar"/>
    <w:rsid w:val="00712762"/>
    <w:pPr>
      <w:keepLines/>
      <w:framePr w:wrap="around" w:vAnchor="text" w:hAnchor="text" w:y="1"/>
      <w:spacing w:before="20" w:after="20"/>
    </w:pPr>
    <w:rPr>
      <w:rFonts w:eastAsia="Arial Unicode MS"/>
      <w:sz w:val="20"/>
      <w:szCs w:val="26"/>
      <w:lang w:val="es-ES_tradnl"/>
    </w:rPr>
  </w:style>
  <w:style w:type="character" w:customStyle="1" w:styleId="RegtableChar">
    <w:name w:val="Regtable Char"/>
    <w:basedOn w:val="DefaultParagraphFont"/>
    <w:link w:val="Regtable"/>
    <w:rsid w:val="00712762"/>
    <w:rPr>
      <w:rFonts w:eastAsia="Arial Unicode MS"/>
      <w:szCs w:val="26"/>
      <w:lang w:val="es-ES_tradnl" w:eastAsia="en-US"/>
    </w:rPr>
  </w:style>
  <w:style w:type="paragraph" w:customStyle="1" w:styleId="TableTitle">
    <w:name w:val="TableTitle"/>
    <w:basedOn w:val="Normal"/>
    <w:link w:val="TableTitleChar"/>
    <w:rsid w:val="00712762"/>
    <w:pPr>
      <w:keepNext/>
      <w:framePr w:wrap="around" w:vAnchor="text" w:hAnchor="text" w:y="1"/>
      <w:spacing w:before="20" w:after="20"/>
      <w:jc w:val="center"/>
    </w:pPr>
    <w:rPr>
      <w:rFonts w:ascii="Times New Roman Bold" w:eastAsia="Arial Unicode MS" w:hAnsi="Times New Roman Bold" w:cs="Arial"/>
      <w:b/>
      <w:spacing w:val="-3"/>
      <w:sz w:val="20"/>
      <w:szCs w:val="26"/>
      <w:lang w:val="es-ES_tradnl"/>
    </w:rPr>
  </w:style>
  <w:style w:type="character" w:customStyle="1" w:styleId="TableTitleChar">
    <w:name w:val="TableTitle Char"/>
    <w:basedOn w:val="DefaultParagraphFont"/>
    <w:link w:val="TableTitle"/>
    <w:rsid w:val="00712762"/>
    <w:rPr>
      <w:rFonts w:ascii="Times New Roman Bold" w:eastAsia="Arial Unicode MS" w:hAnsi="Times New Roman Bold" w:cs="Arial"/>
      <w:b/>
      <w:spacing w:val="-3"/>
      <w:szCs w:val="26"/>
      <w:lang w:val="es-ES_tradnl" w:eastAsia="en-US"/>
    </w:rPr>
  </w:style>
  <w:style w:type="table" w:customStyle="1" w:styleId="TableGrid1">
    <w:name w:val="Table Grid1"/>
    <w:basedOn w:val="TableNormal"/>
    <w:next w:val="TableGrid"/>
    <w:uiPriority w:val="59"/>
    <w:rsid w:val="003E0A91"/>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E0A91"/>
    <w:rPr>
      <w:rFonts w:eastAsia="MS Mincho"/>
      <w:sz w:val="20"/>
      <w:szCs w:val="20"/>
    </w:rPr>
  </w:style>
  <w:style w:type="character" w:customStyle="1" w:styleId="EndnoteTextChar">
    <w:name w:val="Endnote Text Char"/>
    <w:basedOn w:val="DefaultParagraphFont"/>
    <w:link w:val="EndnoteText"/>
    <w:uiPriority w:val="99"/>
    <w:rsid w:val="003E0A91"/>
    <w:rPr>
      <w:rFonts w:eastAsia="MS Mincho"/>
      <w:lang w:val="en-US" w:eastAsia="en-US"/>
    </w:rPr>
  </w:style>
  <w:style w:type="character" w:styleId="EndnoteReference">
    <w:name w:val="endnote reference"/>
    <w:uiPriority w:val="99"/>
    <w:rsid w:val="003E0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43"/>
    <w:rPr>
      <w:sz w:val="24"/>
      <w:szCs w:val="24"/>
      <w:lang w:val="en-US" w:eastAsia="en-US"/>
    </w:rPr>
  </w:style>
  <w:style w:type="paragraph" w:styleId="Heading1">
    <w:name w:val="heading 1"/>
    <w:basedOn w:val="Normal"/>
    <w:next w:val="Normal"/>
    <w:qFormat/>
    <w:rsid w:val="00FE6643"/>
    <w:pPr>
      <w:keepNext/>
      <w:numPr>
        <w:numId w:val="3"/>
      </w:numPr>
      <w:spacing w:before="240" w:after="60"/>
      <w:outlineLvl w:val="0"/>
    </w:pPr>
    <w:rPr>
      <w:rFonts w:ascii="Arial" w:hAnsi="Arial" w:cs="Arial"/>
      <w:b/>
      <w:bCs/>
      <w:kern w:val="32"/>
      <w:sz w:val="32"/>
      <w:szCs w:val="32"/>
    </w:rPr>
  </w:style>
  <w:style w:type="paragraph" w:styleId="Heading2">
    <w:name w:val="heading 2"/>
    <w:basedOn w:val="Normal"/>
    <w:qFormat/>
    <w:rsid w:val="00FE6643"/>
    <w:pPr>
      <w:numPr>
        <w:ilvl w:val="1"/>
        <w:numId w:val="3"/>
      </w:numPr>
      <w:spacing w:before="270" w:after="100" w:afterAutospacing="1"/>
      <w:outlineLvl w:val="1"/>
    </w:pPr>
    <w:rPr>
      <w:rFonts w:ascii="Arial" w:hAnsi="Arial" w:cs="Arial"/>
      <w:b/>
      <w:bCs/>
      <w:color w:val="666666"/>
      <w:sz w:val="38"/>
      <w:szCs w:val="38"/>
      <w:lang w:val="es-ES" w:eastAsia="es-ES"/>
    </w:rPr>
  </w:style>
  <w:style w:type="paragraph" w:styleId="Heading3">
    <w:name w:val="heading 3"/>
    <w:basedOn w:val="Normal"/>
    <w:next w:val="Normal"/>
    <w:qFormat/>
    <w:rsid w:val="00FE6643"/>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FE6643"/>
    <w:pPr>
      <w:keepNext/>
      <w:numPr>
        <w:ilvl w:val="3"/>
        <w:numId w:val="3"/>
      </w:numPr>
      <w:autoSpaceDE w:val="0"/>
      <w:autoSpaceDN w:val="0"/>
      <w:adjustRightInd w:val="0"/>
      <w:spacing w:before="120"/>
      <w:jc w:val="both"/>
      <w:outlineLvl w:val="3"/>
    </w:pPr>
    <w:rPr>
      <w:rFonts w:ascii="Arial" w:hAnsi="Arial" w:cs="Arial"/>
      <w:color w:val="000080"/>
      <w:lang w:val="es-ES" w:eastAsia="es-ES"/>
    </w:rPr>
  </w:style>
  <w:style w:type="paragraph" w:styleId="Heading5">
    <w:name w:val="heading 5"/>
    <w:basedOn w:val="Normal"/>
    <w:next w:val="Normal"/>
    <w:qFormat/>
    <w:rsid w:val="00FE6643"/>
    <w:pPr>
      <w:numPr>
        <w:ilvl w:val="4"/>
        <w:numId w:val="3"/>
      </w:numPr>
      <w:spacing w:before="240" w:after="60"/>
      <w:outlineLvl w:val="4"/>
    </w:pPr>
    <w:rPr>
      <w:b/>
      <w:bCs/>
      <w:i/>
      <w:iCs/>
      <w:sz w:val="26"/>
      <w:szCs w:val="26"/>
    </w:rPr>
  </w:style>
  <w:style w:type="paragraph" w:styleId="Heading6">
    <w:name w:val="heading 6"/>
    <w:basedOn w:val="Normal"/>
    <w:next w:val="Normal"/>
    <w:qFormat/>
    <w:rsid w:val="00FE6643"/>
    <w:pPr>
      <w:numPr>
        <w:ilvl w:val="5"/>
        <w:numId w:val="3"/>
      </w:numPr>
      <w:spacing w:before="240" w:after="60"/>
      <w:outlineLvl w:val="5"/>
    </w:pPr>
    <w:rPr>
      <w:b/>
      <w:bCs/>
      <w:sz w:val="22"/>
      <w:szCs w:val="22"/>
    </w:rPr>
  </w:style>
  <w:style w:type="paragraph" w:styleId="Heading7">
    <w:name w:val="heading 7"/>
    <w:basedOn w:val="Normal"/>
    <w:next w:val="Normal"/>
    <w:qFormat/>
    <w:rsid w:val="00FE6643"/>
    <w:pPr>
      <w:numPr>
        <w:ilvl w:val="6"/>
        <w:numId w:val="3"/>
      </w:numPr>
      <w:spacing w:before="240" w:after="60"/>
      <w:outlineLvl w:val="6"/>
    </w:pPr>
  </w:style>
  <w:style w:type="paragraph" w:styleId="Heading8">
    <w:name w:val="heading 8"/>
    <w:basedOn w:val="Normal"/>
    <w:next w:val="Normal"/>
    <w:qFormat/>
    <w:rsid w:val="00FE6643"/>
    <w:pPr>
      <w:numPr>
        <w:ilvl w:val="7"/>
        <w:numId w:val="3"/>
      </w:numPr>
      <w:spacing w:before="240" w:after="60"/>
      <w:outlineLvl w:val="7"/>
    </w:pPr>
    <w:rPr>
      <w:i/>
      <w:iCs/>
    </w:rPr>
  </w:style>
  <w:style w:type="paragraph" w:styleId="Heading9">
    <w:name w:val="heading 9"/>
    <w:basedOn w:val="Normal"/>
    <w:next w:val="Normal"/>
    <w:qFormat/>
    <w:rsid w:val="00FE664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uerpo1">
    <w:name w:val="texto_cuerpo1"/>
    <w:rsid w:val="00FE6643"/>
    <w:rPr>
      <w:rFonts w:ascii="Verdana" w:hAnsi="Verdana" w:hint="default"/>
      <w:strike w:val="0"/>
      <w:dstrike w:val="0"/>
      <w:color w:val="666666"/>
      <w:sz w:val="17"/>
      <w:szCs w:val="17"/>
      <w:u w:val="none"/>
      <w:effect w:val="none"/>
    </w:rPr>
  </w:style>
  <w:style w:type="character" w:customStyle="1" w:styleId="textocategoria21">
    <w:name w:val="texto_categoria21"/>
    <w:rsid w:val="00FE6643"/>
    <w:rPr>
      <w:rFonts w:ascii="Verdana" w:hAnsi="Verdana" w:hint="default"/>
      <w:b/>
      <w:bCs/>
      <w:strike w:val="0"/>
      <w:dstrike w:val="0"/>
      <w:color w:val="626262"/>
      <w:sz w:val="17"/>
      <w:szCs w:val="17"/>
      <w:u w:val="none"/>
      <w:effect w:val="none"/>
    </w:rPr>
  </w:style>
  <w:style w:type="paragraph" w:customStyle="1" w:styleId="Default">
    <w:name w:val="Default"/>
    <w:rsid w:val="00FE6643"/>
    <w:pPr>
      <w:autoSpaceDE w:val="0"/>
      <w:autoSpaceDN w:val="0"/>
      <w:adjustRightInd w:val="0"/>
    </w:pPr>
    <w:rPr>
      <w:rFonts w:ascii="Arial" w:hAnsi="Arial" w:cs="Arial"/>
      <w:color w:val="000000"/>
      <w:sz w:val="24"/>
      <w:szCs w:val="24"/>
      <w:lang w:val="es-ES" w:eastAsia="es-ES"/>
    </w:rPr>
  </w:style>
  <w:style w:type="paragraph" w:styleId="BodyText">
    <w:name w:val="Body Text"/>
    <w:basedOn w:val="Default"/>
    <w:next w:val="Default"/>
    <w:rsid w:val="00FE6643"/>
    <w:rPr>
      <w:rFonts w:cs="Times New Roman"/>
      <w:color w:val="auto"/>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uiPriority w:val="99"/>
    <w:rsid w:val="00FE6643"/>
    <w:rPr>
      <w:rFonts w:cs="Arial"/>
      <w:color w:val="000000"/>
    </w:rPr>
  </w:style>
  <w:style w:type="paragraph" w:customStyle="1" w:styleId="Normal0">
    <w:name w:val="Normal."/>
    <w:basedOn w:val="Default"/>
    <w:next w:val="Default"/>
    <w:rsid w:val="00FE6643"/>
    <w:rPr>
      <w:rFonts w:cs="Times New Roman"/>
      <w:color w:val="auto"/>
    </w:rPr>
  </w:style>
  <w:style w:type="character" w:styleId="Hyperlink">
    <w:name w:val="Hyperlink"/>
    <w:uiPriority w:val="99"/>
    <w:rsid w:val="00FE6643"/>
    <w:rPr>
      <w:rFonts w:cs="Arial"/>
      <w:color w:val="000000"/>
    </w:rPr>
  </w:style>
  <w:style w:type="paragraph" w:styleId="NormalWeb">
    <w:name w:val="Normal (Web)"/>
    <w:basedOn w:val="Normal"/>
    <w:rsid w:val="00FE6643"/>
    <w:pPr>
      <w:spacing w:before="270" w:after="100" w:afterAutospacing="1" w:line="360" w:lineRule="atLeast"/>
    </w:pPr>
    <w:rPr>
      <w:sz w:val="29"/>
      <w:szCs w:val="29"/>
      <w:lang w:val="es-ES" w:eastAsia="es-ES"/>
    </w:rPr>
  </w:style>
  <w:style w:type="paragraph" w:customStyle="1" w:styleId="ARTICULO">
    <w:name w:val="ARTICULO"/>
    <w:rsid w:val="00FE6643"/>
    <w:pPr>
      <w:keepNext/>
      <w:keepLines/>
      <w:widowControl w:val="0"/>
      <w:numPr>
        <w:numId w:val="1"/>
      </w:numPr>
      <w:spacing w:before="360"/>
      <w:jc w:val="center"/>
      <w:outlineLvl w:val="0"/>
    </w:pPr>
    <w:rPr>
      <w:rFonts w:ascii="Times" w:hAnsi="Times" w:cs="Times"/>
      <w:b/>
      <w:bCs/>
      <w:caps/>
      <w:sz w:val="22"/>
      <w:szCs w:val="22"/>
      <w:lang w:val="es-ES_tradnl" w:eastAsia="en-US"/>
    </w:rPr>
  </w:style>
  <w:style w:type="paragraph" w:customStyle="1" w:styleId="IncisoAnexoi">
    <w:name w:val="IncisoAnexo(i)"/>
    <w:basedOn w:val="Normal"/>
    <w:rsid w:val="00FE6643"/>
    <w:pPr>
      <w:widowControl w:val="0"/>
      <w:numPr>
        <w:ilvl w:val="6"/>
        <w:numId w:val="1"/>
      </w:numPr>
      <w:spacing w:before="120" w:after="120"/>
      <w:jc w:val="both"/>
    </w:pPr>
    <w:rPr>
      <w:sz w:val="22"/>
      <w:szCs w:val="22"/>
    </w:rPr>
  </w:style>
  <w:style w:type="paragraph" w:customStyle="1" w:styleId="SECCION">
    <w:name w:val="SECCION"/>
    <w:basedOn w:val="Normal"/>
    <w:rsid w:val="00FE6643"/>
    <w:pPr>
      <w:widowControl w:val="0"/>
      <w:numPr>
        <w:ilvl w:val="1"/>
        <w:numId w:val="1"/>
      </w:numPr>
      <w:spacing w:before="120" w:after="120"/>
      <w:jc w:val="both"/>
    </w:pPr>
    <w:rPr>
      <w:b/>
      <w:bCs/>
      <w:sz w:val="22"/>
      <w:szCs w:val="22"/>
      <w:lang w:val="es-ES_tradnl"/>
    </w:rPr>
  </w:style>
  <w:style w:type="paragraph" w:customStyle="1" w:styleId="INCISO1i">
    <w:name w:val="INCISO 1 (i)"/>
    <w:basedOn w:val="Normal"/>
    <w:rsid w:val="00FE6643"/>
    <w:pPr>
      <w:widowControl w:val="0"/>
      <w:numPr>
        <w:ilvl w:val="2"/>
        <w:numId w:val="1"/>
      </w:numPr>
      <w:spacing w:before="120" w:after="120"/>
      <w:jc w:val="both"/>
    </w:pPr>
    <w:rPr>
      <w:sz w:val="22"/>
      <w:szCs w:val="22"/>
      <w:lang w:val="es-ES_tradnl"/>
    </w:rPr>
  </w:style>
  <w:style w:type="paragraph" w:customStyle="1" w:styleId="INCISO2a">
    <w:name w:val="INCISO 2 (a)"/>
    <w:basedOn w:val="Normal"/>
    <w:rsid w:val="00FE6643"/>
    <w:pPr>
      <w:widowControl w:val="0"/>
      <w:numPr>
        <w:ilvl w:val="3"/>
        <w:numId w:val="1"/>
      </w:numPr>
      <w:spacing w:before="120" w:after="120"/>
      <w:jc w:val="both"/>
    </w:pPr>
    <w:rPr>
      <w:sz w:val="22"/>
      <w:szCs w:val="22"/>
      <w:lang w:val="es-ES_tradnl"/>
    </w:rPr>
  </w:style>
  <w:style w:type="paragraph" w:customStyle="1" w:styleId="Anexo">
    <w:name w:val="Anexo"/>
    <w:basedOn w:val="Normal"/>
    <w:next w:val="Normal"/>
    <w:semiHidden/>
    <w:rsid w:val="00FE6643"/>
    <w:pPr>
      <w:widowControl w:val="0"/>
      <w:numPr>
        <w:ilvl w:val="5"/>
        <w:numId w:val="1"/>
      </w:numPr>
      <w:tabs>
        <w:tab w:val="left" w:pos="0"/>
      </w:tabs>
      <w:spacing w:before="120" w:after="120"/>
      <w:jc w:val="center"/>
    </w:pPr>
    <w:rPr>
      <w:rFonts w:ascii="Times New Roman Bold" w:hAnsi="Times New Roman Bold" w:cs="Times New Roman Bold"/>
      <w:b/>
      <w:bCs/>
      <w:sz w:val="22"/>
      <w:szCs w:val="22"/>
      <w:lang w:val="es-ES_tradnl"/>
    </w:rPr>
  </w:style>
  <w:style w:type="paragraph" w:customStyle="1" w:styleId="INCISO3A">
    <w:name w:val="INCISO 3 (A)"/>
    <w:basedOn w:val="Normal"/>
    <w:rsid w:val="00FE6643"/>
    <w:pPr>
      <w:widowControl w:val="0"/>
      <w:numPr>
        <w:ilvl w:val="4"/>
        <w:numId w:val="1"/>
      </w:numPr>
      <w:spacing w:before="120" w:after="120"/>
      <w:jc w:val="both"/>
    </w:pPr>
    <w:rPr>
      <w:sz w:val="22"/>
      <w:szCs w:val="22"/>
    </w:rPr>
  </w:style>
  <w:style w:type="paragraph" w:customStyle="1" w:styleId="IncisoAnexoa">
    <w:name w:val="IncisoAnexo (a)"/>
    <w:basedOn w:val="INCISO2a"/>
    <w:rsid w:val="00FE6643"/>
    <w:pPr>
      <w:numPr>
        <w:ilvl w:val="7"/>
      </w:numPr>
    </w:pPr>
  </w:style>
  <w:style w:type="paragraph" w:customStyle="1" w:styleId="Chapter">
    <w:name w:val="Chapter"/>
    <w:basedOn w:val="Normal"/>
    <w:next w:val="Normal"/>
    <w:rsid w:val="00712762"/>
    <w:pPr>
      <w:keepNext/>
      <w:tabs>
        <w:tab w:val="num" w:pos="648"/>
        <w:tab w:val="left" w:pos="1440"/>
      </w:tabs>
      <w:spacing w:before="240" w:after="240"/>
      <w:ind w:firstLine="288"/>
      <w:jc w:val="center"/>
    </w:pPr>
    <w:rPr>
      <w:b/>
      <w:smallCaps/>
      <w:lang w:val="es-ES"/>
    </w:rPr>
  </w:style>
  <w:style w:type="paragraph" w:customStyle="1" w:styleId="Paragraph">
    <w:name w:val="Paragraph"/>
    <w:aliases w:val="paragraph,p,PARAGRAPH,PG,pa,at"/>
    <w:basedOn w:val="BodyTextIndent"/>
    <w:link w:val="ParagraphChar"/>
    <w:qFormat/>
    <w:rsid w:val="00712762"/>
    <w:pPr>
      <w:tabs>
        <w:tab w:val="num" w:pos="720"/>
      </w:tabs>
      <w:spacing w:before="120"/>
      <w:ind w:left="720" w:hanging="720"/>
      <w:jc w:val="both"/>
      <w:outlineLvl w:val="1"/>
    </w:pPr>
    <w:rPr>
      <w:snapToGrid/>
      <w:lang w:val="es-ES"/>
    </w:rPr>
  </w:style>
  <w:style w:type="paragraph" w:styleId="BodyTextIndent">
    <w:name w:val="Body Text Indent"/>
    <w:basedOn w:val="Normal"/>
    <w:rsid w:val="00712762"/>
    <w:pPr>
      <w:spacing w:after="120"/>
      <w:ind w:left="360"/>
    </w:pPr>
    <w:rPr>
      <w:snapToGrid w:val="0"/>
    </w:rPr>
  </w:style>
  <w:style w:type="paragraph" w:customStyle="1" w:styleId="subpar">
    <w:name w:val="subpar"/>
    <w:basedOn w:val="BodyTextIndent3"/>
    <w:link w:val="subparChar"/>
    <w:rsid w:val="00712762"/>
    <w:pPr>
      <w:tabs>
        <w:tab w:val="num" w:pos="1152"/>
      </w:tabs>
      <w:spacing w:before="120"/>
      <w:ind w:left="1152" w:hanging="432"/>
      <w:jc w:val="both"/>
      <w:outlineLvl w:val="2"/>
    </w:pPr>
    <w:rPr>
      <w:szCs w:val="20"/>
      <w:lang w:val="es-ES_tradnl"/>
    </w:rPr>
  </w:style>
  <w:style w:type="paragraph" w:customStyle="1" w:styleId="Textodeglobo1">
    <w:name w:val="Texto de globo1"/>
    <w:basedOn w:val="Normal"/>
    <w:semiHidden/>
    <w:rsid w:val="00FE6643"/>
    <w:rPr>
      <w:rFonts w:ascii="Tahoma" w:hAnsi="Tahoma" w:cs="Tahoma"/>
      <w:sz w:val="16"/>
      <w:szCs w:val="16"/>
    </w:rPr>
  </w:style>
  <w:style w:type="paragraph" w:styleId="BodyTextIndent3">
    <w:name w:val="Body Text Indent 3"/>
    <w:basedOn w:val="Normal"/>
    <w:rsid w:val="00FE6643"/>
    <w:pPr>
      <w:spacing w:after="120"/>
      <w:ind w:left="360"/>
    </w:pPr>
    <w:rPr>
      <w:szCs w:val="16"/>
    </w:rPr>
  </w:style>
  <w:style w:type="paragraph" w:styleId="Header">
    <w:name w:val="header"/>
    <w:basedOn w:val="Normal"/>
    <w:rsid w:val="00FE6643"/>
    <w:pPr>
      <w:tabs>
        <w:tab w:val="center" w:pos="4252"/>
        <w:tab w:val="right" w:pos="8504"/>
      </w:tabs>
    </w:pPr>
    <w:rPr>
      <w:lang w:val="es-ES" w:eastAsia="es-ES"/>
    </w:rPr>
  </w:style>
  <w:style w:type="paragraph" w:customStyle="1" w:styleId="xl30">
    <w:name w:val="xl30"/>
    <w:basedOn w:val="Normal"/>
    <w:rsid w:val="00FE6643"/>
    <w:pPr>
      <w:pBdr>
        <w:lef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styleId="TOC1">
    <w:name w:val="toc 1"/>
    <w:basedOn w:val="Normal"/>
    <w:next w:val="Normal"/>
    <w:autoRedefine/>
    <w:uiPriority w:val="39"/>
    <w:rsid w:val="003C708F"/>
    <w:pPr>
      <w:tabs>
        <w:tab w:val="right" w:leader="dot" w:pos="8741"/>
      </w:tabs>
      <w:spacing w:before="120" w:after="120"/>
      <w:ind w:left="547" w:hanging="547"/>
    </w:pPr>
    <w:rPr>
      <w:smallCaps/>
    </w:rPr>
  </w:style>
  <w:style w:type="paragraph" w:styleId="TOC2">
    <w:name w:val="toc 2"/>
    <w:basedOn w:val="Normal"/>
    <w:next w:val="Normal"/>
    <w:autoRedefine/>
    <w:uiPriority w:val="39"/>
    <w:rsid w:val="00FE6643"/>
    <w:pPr>
      <w:tabs>
        <w:tab w:val="left" w:pos="1152"/>
        <w:tab w:val="right" w:leader="dot" w:pos="8741"/>
      </w:tabs>
      <w:ind w:left="1166" w:hanging="605"/>
    </w:pPr>
  </w:style>
  <w:style w:type="paragraph" w:styleId="TOC3">
    <w:name w:val="toc 3"/>
    <w:basedOn w:val="Normal"/>
    <w:next w:val="Normal"/>
    <w:autoRedefine/>
    <w:uiPriority w:val="39"/>
    <w:rsid w:val="00FE6643"/>
    <w:pPr>
      <w:tabs>
        <w:tab w:val="left" w:pos="1728"/>
        <w:tab w:val="right" w:leader="dot" w:pos="8741"/>
      </w:tabs>
      <w:ind w:left="1714" w:hanging="562"/>
    </w:p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rsid w:val="00FE6643"/>
    <w:pPr>
      <w:keepNext/>
      <w:keepLines/>
      <w:spacing w:after="120"/>
      <w:ind w:left="288" w:hanging="288"/>
      <w:jc w:val="both"/>
    </w:pPr>
    <w:rPr>
      <w:spacing w:val="-3"/>
      <w:sz w:val="20"/>
    </w:rPr>
  </w:style>
  <w:style w:type="paragraph" w:customStyle="1" w:styleId="Estilo1">
    <w:name w:val="Estilo1"/>
    <w:basedOn w:val="TOC4"/>
    <w:rsid w:val="00FE6643"/>
    <w:pPr>
      <w:numPr>
        <w:ilvl w:val="1"/>
        <w:numId w:val="4"/>
      </w:numPr>
      <w:autoSpaceDE w:val="0"/>
      <w:autoSpaceDN w:val="0"/>
      <w:adjustRightInd w:val="0"/>
      <w:spacing w:before="120"/>
      <w:jc w:val="both"/>
    </w:pPr>
    <w:rPr>
      <w:rFonts w:ascii="Arial" w:hAnsi="Arial" w:cs="Arial"/>
      <w:b/>
      <w:bCs/>
      <w:lang w:val="es-ES" w:eastAsia="es-ES"/>
    </w:rPr>
  </w:style>
  <w:style w:type="paragraph" w:customStyle="1" w:styleId="Estilo2">
    <w:name w:val="Estilo2"/>
    <w:basedOn w:val="Title"/>
    <w:rsid w:val="00FE6643"/>
  </w:style>
  <w:style w:type="paragraph" w:styleId="TOC4">
    <w:name w:val="toc 4"/>
    <w:basedOn w:val="Normal"/>
    <w:next w:val="Normal"/>
    <w:autoRedefine/>
    <w:semiHidden/>
    <w:rsid w:val="00FE6643"/>
    <w:pPr>
      <w:ind w:left="600"/>
    </w:pPr>
  </w:style>
  <w:style w:type="character" w:styleId="CommentReference">
    <w:name w:val="annotation reference"/>
    <w:uiPriority w:val="99"/>
    <w:semiHidden/>
    <w:rsid w:val="00FE6643"/>
    <w:rPr>
      <w:sz w:val="16"/>
      <w:szCs w:val="16"/>
    </w:rPr>
  </w:style>
  <w:style w:type="paragraph" w:styleId="Title">
    <w:name w:val="Title"/>
    <w:basedOn w:val="Normal"/>
    <w:qFormat/>
    <w:rsid w:val="00FE6643"/>
    <w:pPr>
      <w:spacing w:before="240" w:after="6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FE6643"/>
    <w:rPr>
      <w:lang w:val="x-none" w:eastAsia="x-none"/>
    </w:rPr>
  </w:style>
  <w:style w:type="paragraph" w:customStyle="1" w:styleId="Asuntodelcomentario1">
    <w:name w:val="Asunto del comentario1"/>
    <w:basedOn w:val="CommentText"/>
    <w:next w:val="CommentText"/>
    <w:rsid w:val="00FE6643"/>
    <w:rPr>
      <w:b/>
      <w:bCs/>
    </w:rPr>
  </w:style>
  <w:style w:type="character" w:customStyle="1" w:styleId="TextocomentarioCar">
    <w:name w:val="Texto comentario Car"/>
    <w:uiPriority w:val="99"/>
    <w:semiHidden/>
    <w:rsid w:val="00FE6643"/>
    <w:rPr>
      <w:lang w:val="en-US" w:eastAsia="en-US"/>
    </w:rPr>
  </w:style>
  <w:style w:type="character" w:customStyle="1" w:styleId="AsuntodelcomentarioCar">
    <w:name w:val="Asunto del comentario Car"/>
    <w:rsid w:val="00FE6643"/>
    <w:rPr>
      <w:lang w:val="en-US" w:eastAsia="en-US"/>
    </w:rPr>
  </w:style>
  <w:style w:type="paragraph" w:styleId="CommentSubject">
    <w:name w:val="annotation subject"/>
    <w:basedOn w:val="CommentText"/>
    <w:next w:val="CommentText"/>
    <w:semiHidden/>
    <w:rsid w:val="00FE6643"/>
    <w:rPr>
      <w:b/>
      <w:bCs/>
    </w:rPr>
  </w:style>
  <w:style w:type="paragraph" w:styleId="BalloonText">
    <w:name w:val="Balloon Text"/>
    <w:basedOn w:val="Normal"/>
    <w:semiHidden/>
    <w:rsid w:val="00FE6643"/>
    <w:rPr>
      <w:rFonts w:ascii="Tahoma" w:hAnsi="Tahoma" w:cs="Tahoma"/>
      <w:sz w:val="16"/>
      <w:szCs w:val="16"/>
    </w:rPr>
  </w:style>
  <w:style w:type="character" w:styleId="FollowedHyperlink">
    <w:name w:val="FollowedHyperlink"/>
    <w:rsid w:val="00FE6643"/>
    <w:rPr>
      <w:color w:val="800080"/>
      <w:u w:val="single"/>
    </w:rPr>
  </w:style>
  <w:style w:type="paragraph" w:styleId="ListParagraph">
    <w:name w:val="List Paragraph"/>
    <w:basedOn w:val="Normal"/>
    <w:uiPriority w:val="34"/>
    <w:qFormat/>
    <w:rsid w:val="001343B9"/>
    <w:pPr>
      <w:spacing w:after="200" w:line="276" w:lineRule="auto"/>
      <w:ind w:left="720"/>
    </w:pPr>
    <w:rPr>
      <w:rFonts w:ascii="Calibri" w:eastAsia="Calibri" w:hAnsi="Calibri"/>
      <w:sz w:val="22"/>
      <w:szCs w:val="22"/>
    </w:rPr>
  </w:style>
  <w:style w:type="paragraph" w:styleId="BodyText2">
    <w:name w:val="Body Text 2"/>
    <w:basedOn w:val="Normal"/>
    <w:link w:val="BodyText2Char"/>
    <w:rsid w:val="0095158B"/>
    <w:pPr>
      <w:spacing w:after="120" w:line="480" w:lineRule="auto"/>
    </w:pPr>
  </w:style>
  <w:style w:type="character" w:customStyle="1" w:styleId="BodyText2Char">
    <w:name w:val="Body Text 2 Char"/>
    <w:basedOn w:val="DefaultParagraphFont"/>
    <w:link w:val="BodyText2"/>
    <w:rsid w:val="0095158B"/>
  </w:style>
  <w:style w:type="paragraph" w:customStyle="1" w:styleId="CLEDSchedAnnexTitle">
    <w:name w:val="CLED Sched./Annex Title"/>
    <w:basedOn w:val="Normal"/>
    <w:link w:val="CLEDSchedAnnexTitleChar"/>
    <w:rsid w:val="0095158B"/>
    <w:pPr>
      <w:jc w:val="center"/>
    </w:pPr>
    <w:rPr>
      <w:szCs w:val="20"/>
      <w:u w:val="single"/>
      <w:lang w:val="x-none" w:eastAsia="x-none"/>
    </w:rPr>
  </w:style>
  <w:style w:type="character" w:customStyle="1" w:styleId="CLEDSchedAnnexTitleChar">
    <w:name w:val="CLED Sched./Annex Title Char"/>
    <w:link w:val="CLEDSchedAnnexTitle"/>
    <w:rsid w:val="0095158B"/>
    <w:rPr>
      <w:sz w:val="24"/>
      <w:u w:val="single"/>
    </w:rPr>
  </w:style>
  <w:style w:type="paragraph" w:customStyle="1" w:styleId="FaxInfo">
    <w:name w:val="Fax Info"/>
    <w:basedOn w:val="Header"/>
    <w:rsid w:val="0095158B"/>
    <w:pPr>
      <w:tabs>
        <w:tab w:val="clear" w:pos="4252"/>
        <w:tab w:val="clear" w:pos="8504"/>
      </w:tabs>
    </w:pPr>
    <w:rPr>
      <w:b/>
      <w:lang w:val="en-US" w:eastAsia="en-US"/>
    </w:rPr>
  </w:style>
  <w:style w:type="paragraph" w:styleId="ListBullet">
    <w:name w:val="List Bullet"/>
    <w:basedOn w:val="Normal"/>
    <w:rsid w:val="0095158B"/>
    <w:pPr>
      <w:widowControl w:val="0"/>
      <w:numPr>
        <w:numId w:val="5"/>
      </w:numPr>
      <w:tabs>
        <w:tab w:val="left" w:pos="360"/>
      </w:tabs>
    </w:pPr>
    <w:rPr>
      <w:lang w:val="en-AU"/>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link w:val="FootnoteText"/>
    <w:uiPriority w:val="99"/>
    <w:locked/>
    <w:rsid w:val="0095158B"/>
    <w:rPr>
      <w:spacing w:val="-3"/>
      <w:szCs w:val="24"/>
      <w:lang w:val="en-US" w:eastAsia="en-US"/>
    </w:rPr>
  </w:style>
  <w:style w:type="paragraph" w:customStyle="1" w:styleId="CLEDSchedAnnexNo">
    <w:name w:val="CLED Sched./Annex No."/>
    <w:basedOn w:val="Normal"/>
    <w:rsid w:val="002F1D22"/>
    <w:pPr>
      <w:keepNext/>
      <w:jc w:val="right"/>
    </w:pPr>
    <w:rPr>
      <w:u w:val="single"/>
    </w:rPr>
  </w:style>
  <w:style w:type="paragraph" w:styleId="Revision">
    <w:name w:val="Revision"/>
    <w:hidden/>
    <w:uiPriority w:val="99"/>
    <w:semiHidden/>
    <w:rsid w:val="00C5245A"/>
    <w:rPr>
      <w:sz w:val="24"/>
      <w:szCs w:val="24"/>
      <w:lang w:val="en-US" w:eastAsia="en-US"/>
    </w:rPr>
  </w:style>
  <w:style w:type="paragraph" w:styleId="Footer">
    <w:name w:val="footer"/>
    <w:basedOn w:val="Normal"/>
    <w:link w:val="FooterChar"/>
    <w:uiPriority w:val="99"/>
    <w:rsid w:val="00521085"/>
    <w:pPr>
      <w:tabs>
        <w:tab w:val="center" w:pos="4320"/>
        <w:tab w:val="right" w:pos="8640"/>
      </w:tabs>
    </w:pPr>
  </w:style>
  <w:style w:type="character" w:customStyle="1" w:styleId="FooterChar">
    <w:name w:val="Footer Char"/>
    <w:basedOn w:val="DefaultParagraphFont"/>
    <w:link w:val="Footer"/>
    <w:uiPriority w:val="99"/>
    <w:rsid w:val="00521085"/>
  </w:style>
  <w:style w:type="character" w:customStyle="1" w:styleId="FootnoteTextChar1">
    <w:name w:val="Footnote Text Char1"/>
    <w:semiHidden/>
    <w:locked/>
    <w:rsid w:val="004B301E"/>
    <w:rPr>
      <w:rFonts w:ascii="Times New Roman" w:eastAsia="Calibri" w:hAnsi="Times New Roman" w:cs="Times New Roman"/>
      <w:sz w:val="24"/>
      <w:szCs w:val="20"/>
    </w:rPr>
  </w:style>
  <w:style w:type="table" w:styleId="TableGrid">
    <w:name w:val="Table Grid"/>
    <w:basedOn w:val="TableNormal"/>
    <w:rsid w:val="008E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FF1E69"/>
    <w:rPr>
      <w:sz w:val="24"/>
      <w:szCs w:val="24"/>
    </w:rPr>
  </w:style>
  <w:style w:type="paragraph" w:customStyle="1" w:styleId="SubSubPar">
    <w:name w:val="SubSubPar"/>
    <w:basedOn w:val="subpar"/>
    <w:rsid w:val="00622CC4"/>
    <w:pPr>
      <w:tabs>
        <w:tab w:val="clear" w:pos="1152"/>
        <w:tab w:val="left" w:pos="0"/>
        <w:tab w:val="num" w:pos="1296"/>
      </w:tabs>
      <w:ind w:left="1296" w:hanging="288"/>
    </w:pPr>
    <w:rPr>
      <w:lang w:eastAsia="es-MX"/>
    </w:rPr>
  </w:style>
  <w:style w:type="character" w:customStyle="1" w:styleId="ParagraphChar">
    <w:name w:val="Paragraph Char"/>
    <w:link w:val="Paragraph"/>
    <w:rsid w:val="00622CC4"/>
    <w:rPr>
      <w:sz w:val="24"/>
      <w:szCs w:val="24"/>
      <w:lang w:val="es-ES" w:eastAsia="en-US"/>
    </w:rPr>
  </w:style>
  <w:style w:type="character" w:customStyle="1" w:styleId="subparChar">
    <w:name w:val="subpar Char"/>
    <w:link w:val="subpar"/>
    <w:rsid w:val="00622CC4"/>
    <w:rPr>
      <w:sz w:val="24"/>
      <w:lang w:val="es-ES_tradnl" w:eastAsia="en-US"/>
    </w:rPr>
  </w:style>
  <w:style w:type="paragraph" w:styleId="TOCHeading">
    <w:name w:val="TOC Heading"/>
    <w:basedOn w:val="Heading1"/>
    <w:next w:val="Normal"/>
    <w:uiPriority w:val="39"/>
    <w:unhideWhenUsed/>
    <w:qFormat/>
    <w:rsid w:val="007127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FirstHeading">
    <w:name w:val="FirstHeading"/>
    <w:basedOn w:val="Normal"/>
    <w:next w:val="Normal"/>
    <w:link w:val="FirstHeadingChar"/>
    <w:rsid w:val="00712762"/>
    <w:pPr>
      <w:keepNext/>
      <w:tabs>
        <w:tab w:val="left" w:pos="0"/>
        <w:tab w:val="left" w:pos="86"/>
      </w:tabs>
      <w:spacing w:before="120" w:after="120"/>
      <w:ind w:left="720" w:hanging="720"/>
    </w:pPr>
    <w:rPr>
      <w:rFonts w:eastAsia="Arial Unicode MS"/>
      <w:b/>
      <w:szCs w:val="26"/>
      <w:lang w:val="es-ES_tradnl"/>
    </w:rPr>
  </w:style>
  <w:style w:type="character" w:customStyle="1" w:styleId="FirstHeadingChar">
    <w:name w:val="FirstHeading Char"/>
    <w:basedOn w:val="DefaultParagraphFont"/>
    <w:link w:val="FirstHeading"/>
    <w:rsid w:val="00712762"/>
    <w:rPr>
      <w:rFonts w:eastAsia="Arial Unicode MS"/>
      <w:b/>
      <w:sz w:val="24"/>
      <w:szCs w:val="26"/>
      <w:lang w:val="es-ES_tradnl" w:eastAsia="en-US"/>
    </w:rPr>
  </w:style>
  <w:style w:type="paragraph" w:customStyle="1" w:styleId="SecHeading">
    <w:name w:val="SecHeading"/>
    <w:basedOn w:val="Normal"/>
    <w:next w:val="Paragraph"/>
    <w:link w:val="SecHeadingChar"/>
    <w:rsid w:val="00712762"/>
    <w:pPr>
      <w:keepNext/>
      <w:tabs>
        <w:tab w:val="num" w:pos="1296"/>
      </w:tabs>
      <w:spacing w:before="120" w:after="120"/>
      <w:ind w:left="1296" w:hanging="576"/>
    </w:pPr>
    <w:rPr>
      <w:rFonts w:eastAsia="Arial Unicode MS"/>
      <w:b/>
      <w:szCs w:val="26"/>
      <w:lang w:val="es-ES_tradnl"/>
    </w:rPr>
  </w:style>
  <w:style w:type="character" w:customStyle="1" w:styleId="SecHeadingChar">
    <w:name w:val="SecHeading Char"/>
    <w:basedOn w:val="DefaultParagraphFont"/>
    <w:link w:val="SecHeading"/>
    <w:rsid w:val="00712762"/>
    <w:rPr>
      <w:rFonts w:eastAsia="Arial Unicode MS"/>
      <w:b/>
      <w:sz w:val="24"/>
      <w:szCs w:val="26"/>
      <w:lang w:val="es-ES_tradnl" w:eastAsia="en-US"/>
    </w:rPr>
  </w:style>
  <w:style w:type="paragraph" w:customStyle="1" w:styleId="SubHeading1">
    <w:name w:val="SubHeading1"/>
    <w:basedOn w:val="SecHeading"/>
    <w:link w:val="SubHeading1Char"/>
    <w:rsid w:val="00712762"/>
    <w:pPr>
      <w:tabs>
        <w:tab w:val="clear" w:pos="1296"/>
        <w:tab w:val="num" w:pos="1872"/>
      </w:tabs>
      <w:ind w:left="1872"/>
    </w:pPr>
  </w:style>
  <w:style w:type="character" w:customStyle="1" w:styleId="SubHeading1Char">
    <w:name w:val="SubHeading1 Char"/>
    <w:basedOn w:val="DefaultParagraphFont"/>
    <w:link w:val="SubHeading1"/>
    <w:rsid w:val="00712762"/>
    <w:rPr>
      <w:rFonts w:eastAsia="Arial Unicode MS"/>
      <w:b/>
      <w:sz w:val="24"/>
      <w:szCs w:val="26"/>
      <w:lang w:val="es-ES_tradnl" w:eastAsia="en-US"/>
    </w:rPr>
  </w:style>
  <w:style w:type="paragraph" w:customStyle="1" w:styleId="Subheading2">
    <w:name w:val="Subheading2"/>
    <w:basedOn w:val="SecHeading"/>
    <w:link w:val="Subheading2Char"/>
    <w:rsid w:val="00712762"/>
    <w:pPr>
      <w:tabs>
        <w:tab w:val="clear" w:pos="1296"/>
        <w:tab w:val="num" w:pos="2376"/>
      </w:tabs>
      <w:ind w:left="2376" w:hanging="288"/>
    </w:pPr>
  </w:style>
  <w:style w:type="character" w:customStyle="1" w:styleId="Subheading2Char">
    <w:name w:val="Subheading2 Char"/>
    <w:basedOn w:val="DefaultParagraphFont"/>
    <w:link w:val="Subheading2"/>
    <w:rsid w:val="00712762"/>
    <w:rPr>
      <w:rFonts w:eastAsia="Arial Unicode MS"/>
      <w:b/>
      <w:sz w:val="24"/>
      <w:szCs w:val="26"/>
      <w:lang w:val="es-ES_tradnl" w:eastAsia="en-US"/>
    </w:rPr>
  </w:style>
  <w:style w:type="paragraph" w:customStyle="1" w:styleId="Regtable">
    <w:name w:val="Regtable"/>
    <w:basedOn w:val="Normal"/>
    <w:link w:val="RegtableChar"/>
    <w:rsid w:val="00712762"/>
    <w:pPr>
      <w:keepLines/>
      <w:framePr w:wrap="around" w:vAnchor="text" w:hAnchor="text" w:y="1"/>
      <w:spacing w:before="20" w:after="20"/>
    </w:pPr>
    <w:rPr>
      <w:rFonts w:eastAsia="Arial Unicode MS"/>
      <w:sz w:val="20"/>
      <w:szCs w:val="26"/>
      <w:lang w:val="es-ES_tradnl"/>
    </w:rPr>
  </w:style>
  <w:style w:type="character" w:customStyle="1" w:styleId="RegtableChar">
    <w:name w:val="Regtable Char"/>
    <w:basedOn w:val="DefaultParagraphFont"/>
    <w:link w:val="Regtable"/>
    <w:rsid w:val="00712762"/>
    <w:rPr>
      <w:rFonts w:eastAsia="Arial Unicode MS"/>
      <w:szCs w:val="26"/>
      <w:lang w:val="es-ES_tradnl" w:eastAsia="en-US"/>
    </w:rPr>
  </w:style>
  <w:style w:type="paragraph" w:customStyle="1" w:styleId="TableTitle">
    <w:name w:val="TableTitle"/>
    <w:basedOn w:val="Normal"/>
    <w:link w:val="TableTitleChar"/>
    <w:rsid w:val="00712762"/>
    <w:pPr>
      <w:keepNext/>
      <w:framePr w:wrap="around" w:vAnchor="text" w:hAnchor="text" w:y="1"/>
      <w:spacing w:before="20" w:after="20"/>
      <w:jc w:val="center"/>
    </w:pPr>
    <w:rPr>
      <w:rFonts w:ascii="Times New Roman Bold" w:eastAsia="Arial Unicode MS" w:hAnsi="Times New Roman Bold" w:cs="Arial"/>
      <w:b/>
      <w:spacing w:val="-3"/>
      <w:sz w:val="20"/>
      <w:szCs w:val="26"/>
      <w:lang w:val="es-ES_tradnl"/>
    </w:rPr>
  </w:style>
  <w:style w:type="character" w:customStyle="1" w:styleId="TableTitleChar">
    <w:name w:val="TableTitle Char"/>
    <w:basedOn w:val="DefaultParagraphFont"/>
    <w:link w:val="TableTitle"/>
    <w:rsid w:val="00712762"/>
    <w:rPr>
      <w:rFonts w:ascii="Times New Roman Bold" w:eastAsia="Arial Unicode MS" w:hAnsi="Times New Roman Bold" w:cs="Arial"/>
      <w:b/>
      <w:spacing w:val="-3"/>
      <w:szCs w:val="26"/>
      <w:lang w:val="es-ES_tradnl" w:eastAsia="en-US"/>
    </w:rPr>
  </w:style>
  <w:style w:type="table" w:customStyle="1" w:styleId="TableGrid1">
    <w:name w:val="Table Grid1"/>
    <w:basedOn w:val="TableNormal"/>
    <w:next w:val="TableGrid"/>
    <w:uiPriority w:val="59"/>
    <w:rsid w:val="003E0A91"/>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E0A91"/>
    <w:rPr>
      <w:rFonts w:eastAsia="MS Mincho"/>
      <w:sz w:val="20"/>
      <w:szCs w:val="20"/>
    </w:rPr>
  </w:style>
  <w:style w:type="character" w:customStyle="1" w:styleId="EndnoteTextChar">
    <w:name w:val="Endnote Text Char"/>
    <w:basedOn w:val="DefaultParagraphFont"/>
    <w:link w:val="EndnoteText"/>
    <w:uiPriority w:val="99"/>
    <w:rsid w:val="003E0A91"/>
    <w:rPr>
      <w:rFonts w:eastAsia="MS Mincho"/>
      <w:lang w:val="en-US" w:eastAsia="en-US"/>
    </w:rPr>
  </w:style>
  <w:style w:type="character" w:styleId="EndnoteReference">
    <w:name w:val="endnote reference"/>
    <w:uiPriority w:val="99"/>
    <w:rsid w:val="003E0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908">
      <w:bodyDiv w:val="1"/>
      <w:marLeft w:val="0"/>
      <w:marRight w:val="0"/>
      <w:marTop w:val="0"/>
      <w:marBottom w:val="0"/>
      <w:divBdr>
        <w:top w:val="none" w:sz="0" w:space="0" w:color="auto"/>
        <w:left w:val="none" w:sz="0" w:space="0" w:color="auto"/>
        <w:bottom w:val="none" w:sz="0" w:space="0" w:color="auto"/>
        <w:right w:val="none" w:sz="0" w:space="0" w:color="auto"/>
      </w:divBdr>
    </w:div>
    <w:div w:id="681322741">
      <w:bodyDiv w:val="1"/>
      <w:marLeft w:val="0"/>
      <w:marRight w:val="0"/>
      <w:marTop w:val="0"/>
      <w:marBottom w:val="0"/>
      <w:divBdr>
        <w:top w:val="none" w:sz="0" w:space="0" w:color="auto"/>
        <w:left w:val="none" w:sz="0" w:space="0" w:color="auto"/>
        <w:bottom w:val="none" w:sz="0" w:space="0" w:color="auto"/>
        <w:right w:val="none" w:sz="0" w:space="0" w:color="auto"/>
      </w:divBdr>
    </w:div>
    <w:div w:id="1026249091">
      <w:bodyDiv w:val="1"/>
      <w:marLeft w:val="0"/>
      <w:marRight w:val="0"/>
      <w:marTop w:val="0"/>
      <w:marBottom w:val="0"/>
      <w:divBdr>
        <w:top w:val="none" w:sz="0" w:space="0" w:color="auto"/>
        <w:left w:val="none" w:sz="0" w:space="0" w:color="auto"/>
        <w:bottom w:val="none" w:sz="0" w:space="0" w:color="auto"/>
        <w:right w:val="none" w:sz="0" w:space="0" w:color="auto"/>
      </w:divBdr>
    </w:div>
    <w:div w:id="1071584759">
      <w:bodyDiv w:val="1"/>
      <w:marLeft w:val="0"/>
      <w:marRight w:val="0"/>
      <w:marTop w:val="0"/>
      <w:marBottom w:val="0"/>
      <w:divBdr>
        <w:top w:val="none" w:sz="0" w:space="0" w:color="auto"/>
        <w:left w:val="none" w:sz="0" w:space="0" w:color="auto"/>
        <w:bottom w:val="none" w:sz="0" w:space="0" w:color="auto"/>
        <w:right w:val="none" w:sz="0" w:space="0" w:color="auto"/>
      </w:divBdr>
    </w:div>
    <w:div w:id="1097361379">
      <w:bodyDiv w:val="1"/>
      <w:marLeft w:val="0"/>
      <w:marRight w:val="0"/>
      <w:marTop w:val="0"/>
      <w:marBottom w:val="0"/>
      <w:divBdr>
        <w:top w:val="none" w:sz="0" w:space="0" w:color="auto"/>
        <w:left w:val="none" w:sz="0" w:space="0" w:color="auto"/>
        <w:bottom w:val="none" w:sz="0" w:space="0" w:color="auto"/>
        <w:right w:val="none" w:sz="0" w:space="0" w:color="auto"/>
      </w:divBdr>
    </w:div>
    <w:div w:id="1365330541">
      <w:bodyDiv w:val="1"/>
      <w:marLeft w:val="0"/>
      <w:marRight w:val="0"/>
      <w:marTop w:val="0"/>
      <w:marBottom w:val="0"/>
      <w:divBdr>
        <w:top w:val="none" w:sz="0" w:space="0" w:color="auto"/>
        <w:left w:val="none" w:sz="0" w:space="0" w:color="auto"/>
        <w:bottom w:val="none" w:sz="0" w:space="0" w:color="auto"/>
        <w:right w:val="none" w:sz="0" w:space="0" w:color="auto"/>
      </w:divBdr>
    </w:div>
    <w:div w:id="16675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ital.anla.gov.co/SILPA/TESTSILPA/Security/Login.aspx?ReturnUrl=%2fSILPA%2fTestSilpa%2fSecurity%2fdefault.aspx" TargetMode="External"/><Relationship Id="rId26" Type="http://schemas.openxmlformats.org/officeDocument/2006/relationships/hyperlink" Target="http://www.iadb.org/countries/home.cfm?id_country=PN&amp;Language=English" TargetMode="External"/><Relationship Id="rId39" Type="http://schemas.openxmlformats.org/officeDocument/2006/relationships/hyperlink" Target="http://www.iadb.org/countries/home.cfm?id_country=CO&amp;Language=English" TargetMode="External"/><Relationship Id="rId3" Type="http://schemas.openxmlformats.org/officeDocument/2006/relationships/numbering" Target="numbering.xml"/><Relationship Id="rId21" Type="http://schemas.openxmlformats.org/officeDocument/2006/relationships/hyperlink" Target="http://www.iadb.org/countries/home.cfm?id_country=AR&amp;Language=English" TargetMode="External"/><Relationship Id="rId34" Type="http://schemas.openxmlformats.org/officeDocument/2006/relationships/hyperlink" Target="http://www.iadb.org/countries/home.cfm?id_country=gy&amp;Language=English" TargetMode="External"/><Relationship Id="rId42" Type="http://schemas.openxmlformats.org/officeDocument/2006/relationships/hyperlink" Target="http://www.iadb.org/countries/home.cfm?id_country=JA&amp;Language=English" TargetMode="External"/><Relationship Id="rId47" Type="http://schemas.openxmlformats.org/officeDocument/2006/relationships/hyperlink" Target="http://www.who.int/medicines/publications/restrictions/en/"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p.presidencia.gov.co/sitios/normativa/decretos/2015/Decretos2015/DECRETO%201076%20DEL%2026%20DE%20MAYO%20DE%202015.pdf" TargetMode="External"/><Relationship Id="rId25" Type="http://schemas.openxmlformats.org/officeDocument/2006/relationships/hyperlink" Target="http://www.iadb.org/countries/home.cfm?id_country=Bh&amp;Language=English" TargetMode="External"/><Relationship Id="rId33" Type="http://schemas.openxmlformats.org/officeDocument/2006/relationships/hyperlink" Target="http://www.iadb.org/countries/home.cfm?id_country=Br&amp;Language=English" TargetMode="External"/><Relationship Id="rId38" Type="http://schemas.openxmlformats.org/officeDocument/2006/relationships/hyperlink" Target="http://www.iadb.org/countries/home.cfm?id_country=HO&amp;Language=English" TargetMode="External"/><Relationship Id="rId46" Type="http://schemas.openxmlformats.org/officeDocument/2006/relationships/hyperlink" Target="http://www.iadb.org/countries/home.cfm?id_country=VE&amp;Language=English"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iadb.org/aboutus/VI/borrowing.cfm?lang=es" TargetMode="External"/><Relationship Id="rId29" Type="http://schemas.openxmlformats.org/officeDocument/2006/relationships/hyperlink" Target="http://www.iadb.org/countries/home.cfm?id_country=PE&amp;Language=English" TargetMode="External"/><Relationship Id="rId41" Type="http://schemas.openxmlformats.org/officeDocument/2006/relationships/hyperlink" Target="http://www.iadb.org/countries/home.cfm?id_country=cr&amp;Language=Englis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me.gov.co/Normatividad/Nacional/2014/LEY_1715_2014.pdf" TargetMode="External"/><Relationship Id="rId24" Type="http://schemas.openxmlformats.org/officeDocument/2006/relationships/hyperlink" Target="http://www.iadb.org/countries/home.cfm?id_country=es&amp;Language=English" TargetMode="External"/><Relationship Id="rId32" Type="http://schemas.openxmlformats.org/officeDocument/2006/relationships/hyperlink" Target="http://www.iadb.org/countries/home.cfm?id_country=gu&amp;Language=English" TargetMode="External"/><Relationship Id="rId37" Type="http://schemas.openxmlformats.org/officeDocument/2006/relationships/hyperlink" Target="http://www.iadb.org/countries/home.cfm?id_country=ch&amp;Language=English" TargetMode="External"/><Relationship Id="rId40" Type="http://schemas.openxmlformats.org/officeDocument/2006/relationships/hyperlink" Target="http://www.iadb.org/countries/home.cfm?id_country=SU&amp;Language=English" TargetMode="External"/><Relationship Id="rId45" Type="http://schemas.openxmlformats.org/officeDocument/2006/relationships/hyperlink" Target="http://www.iadb.org/countries/home.cfm?id_country=ME&amp;Language=English" TargetMode="External"/><Relationship Id="rId5" Type="http://schemas.microsoft.com/office/2007/relationships/stylesWithEffects" Target="stylesWithEffects.xml"/><Relationship Id="rId15" Type="http://schemas.openxmlformats.org/officeDocument/2006/relationships/hyperlink" Target="http://www.basel.int" TargetMode="External"/><Relationship Id="rId23" Type="http://schemas.openxmlformats.org/officeDocument/2006/relationships/hyperlink" Target="http://www.iadb.org/countries/home.cfm?id_country=NI&amp;Language=English" TargetMode="External"/><Relationship Id="rId28" Type="http://schemas.openxmlformats.org/officeDocument/2006/relationships/hyperlink" Target="http://www.iadb.org/countries/home.cfm?id_country=PR&amp;Language=English" TargetMode="External"/><Relationship Id="rId36" Type="http://schemas.openxmlformats.org/officeDocument/2006/relationships/hyperlink" Target="http://www.iadb.org/countries/home.cfm?id_country=HA&amp;Language=English" TargetMode="External"/><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suit.gov.co/inicio" TargetMode="External"/><Relationship Id="rId31" Type="http://schemas.openxmlformats.org/officeDocument/2006/relationships/hyperlink" Target="http://www.iadb.org/countries/home.cfm?id_country=BO&amp;Language=English" TargetMode="External"/><Relationship Id="rId44" Type="http://schemas.openxmlformats.org/officeDocument/2006/relationships/hyperlink" Target="http://www.iadb.org/countries/home.cfm?id_country=UR&amp;Language=Englis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ep.org/ozone/montreal.shtml" TargetMode="External"/><Relationship Id="rId22" Type="http://schemas.openxmlformats.org/officeDocument/2006/relationships/hyperlink" Target="http://www.iadb.org/countries/home.cfm?id_country=EC&amp;Language=English" TargetMode="External"/><Relationship Id="rId27" Type="http://schemas.openxmlformats.org/officeDocument/2006/relationships/hyperlink" Target="http://www.iadb.org/countries/home.cfm?id_country=BA&amp;Language=English" TargetMode="External"/><Relationship Id="rId30" Type="http://schemas.openxmlformats.org/officeDocument/2006/relationships/hyperlink" Target="http://www.iadb.org/countries/home.cfm?id_country=BL&amp;Language=English" TargetMode="External"/><Relationship Id="rId35" Type="http://schemas.openxmlformats.org/officeDocument/2006/relationships/hyperlink" Target="http://www.iadb.org/countries/home.cfm?id_country=DR&amp;Language=English" TargetMode="External"/><Relationship Id="rId43" Type="http://schemas.openxmlformats.org/officeDocument/2006/relationships/hyperlink" Target="http://www.iadb.org/countries/home.cfm?id_country=TT&amp;Language=English" TargetMode="External"/><Relationship Id="rId48" Type="http://schemas.openxmlformats.org/officeDocument/2006/relationships/fontTable" Target="fontTab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eclaration/lang--e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85FF-AE65-4627-A983-17E9C12D2EDC}">
  <ds:schemaRefs>
    <ds:schemaRef ds:uri="http://schemas.openxmlformats.org/officeDocument/2006/bibliography"/>
  </ds:schemaRefs>
</ds:datastoreItem>
</file>

<file path=customXml/itemProps2.xml><?xml version="1.0" encoding="utf-8"?>
<ds:datastoreItem xmlns:ds="http://schemas.openxmlformats.org/officeDocument/2006/customXml" ds:itemID="{C7BA883F-80DD-488C-AF4E-C8E145A4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6674</Words>
  <Characters>38043</Characters>
  <Application>Microsoft Office Word</Application>
  <DocSecurity>0</DocSecurity>
  <Lines>317</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DE CRÉDITO</vt:lpstr>
      <vt:lpstr>REGLAMENTO DE CRÉDITO</vt:lpstr>
    </vt:vector>
  </TitlesOfParts>
  <Company>Bancoldex</Company>
  <LinksUpToDate>false</LinksUpToDate>
  <CharactersWithSpaces>44628</CharactersWithSpaces>
  <SharedDoc>false</SharedDoc>
  <HLinks>
    <vt:vector size="186" baseType="variant">
      <vt:variant>
        <vt:i4>4849778</vt:i4>
      </vt:variant>
      <vt:variant>
        <vt:i4>96</vt:i4>
      </vt:variant>
      <vt:variant>
        <vt:i4>0</vt:i4>
      </vt:variant>
      <vt:variant>
        <vt:i4>5</vt:i4>
      </vt:variant>
      <vt:variant>
        <vt:lpwstr>D:\lbo0010\AppData\Local\Microsoft\Windows\Temporary Internet Files\mnetto\AppData\Local\Microsoft\Windows\Temporary Internet Files\Content.Outlook\NPC101OX\Characteristics of the Program</vt:lpwstr>
      </vt:variant>
      <vt:variant>
        <vt:lpwstr/>
      </vt:variant>
      <vt:variant>
        <vt:i4>3211324</vt:i4>
      </vt:variant>
      <vt:variant>
        <vt:i4>93</vt:i4>
      </vt:variant>
      <vt:variant>
        <vt:i4>0</vt:i4>
      </vt:variant>
      <vt:variant>
        <vt:i4>5</vt:i4>
      </vt:variant>
      <vt:variant>
        <vt:lpwstr>http://www.who.int/medicines/publications/restrictions/en/</vt:lpwstr>
      </vt:variant>
      <vt:variant>
        <vt:lpwstr/>
      </vt:variant>
      <vt:variant>
        <vt:i4>2686999</vt:i4>
      </vt:variant>
      <vt:variant>
        <vt:i4>90</vt:i4>
      </vt:variant>
      <vt:variant>
        <vt:i4>0</vt:i4>
      </vt:variant>
      <vt:variant>
        <vt:i4>5</vt:i4>
      </vt:variant>
      <vt:variant>
        <vt:lpwstr>http://www.iadb.org/countries/home.cfm?id_country=VE&amp;Language=English</vt:lpwstr>
      </vt:variant>
      <vt:variant>
        <vt:lpwstr/>
      </vt:variant>
      <vt:variant>
        <vt:i4>2686988</vt:i4>
      </vt:variant>
      <vt:variant>
        <vt:i4>87</vt:i4>
      </vt:variant>
      <vt:variant>
        <vt:i4>0</vt:i4>
      </vt:variant>
      <vt:variant>
        <vt:i4>5</vt:i4>
      </vt:variant>
      <vt:variant>
        <vt:lpwstr>http://www.iadb.org/countries/home.cfm?id_country=ME&amp;Language=English</vt:lpwstr>
      </vt:variant>
      <vt:variant>
        <vt:lpwstr/>
      </vt:variant>
      <vt:variant>
        <vt:i4>4063252</vt:i4>
      </vt:variant>
      <vt:variant>
        <vt:i4>84</vt:i4>
      </vt:variant>
      <vt:variant>
        <vt:i4>0</vt:i4>
      </vt:variant>
      <vt:variant>
        <vt:i4>5</vt:i4>
      </vt:variant>
      <vt:variant>
        <vt:lpwstr>http://www.iadb.org/countries/home.cfm?id_country=UR&amp;Language=English</vt:lpwstr>
      </vt:variant>
      <vt:variant>
        <vt:lpwstr/>
      </vt:variant>
      <vt:variant>
        <vt:i4>3670037</vt:i4>
      </vt:variant>
      <vt:variant>
        <vt:i4>81</vt:i4>
      </vt:variant>
      <vt:variant>
        <vt:i4>0</vt:i4>
      </vt:variant>
      <vt:variant>
        <vt:i4>5</vt:i4>
      </vt:variant>
      <vt:variant>
        <vt:lpwstr>http://www.iadb.org/countries/home.cfm?id_country=TT&amp;Language=English</vt:lpwstr>
      </vt:variant>
      <vt:variant>
        <vt:lpwstr/>
      </vt:variant>
      <vt:variant>
        <vt:i4>2949131</vt:i4>
      </vt:variant>
      <vt:variant>
        <vt:i4>78</vt:i4>
      </vt:variant>
      <vt:variant>
        <vt:i4>0</vt:i4>
      </vt:variant>
      <vt:variant>
        <vt:i4>5</vt:i4>
      </vt:variant>
      <vt:variant>
        <vt:lpwstr>http://www.iadb.org/countries/home.cfm?id_country=JA&amp;Language=English</vt:lpwstr>
      </vt:variant>
      <vt:variant>
        <vt:lpwstr/>
      </vt:variant>
      <vt:variant>
        <vt:i4>4063234</vt:i4>
      </vt:variant>
      <vt:variant>
        <vt:i4>75</vt:i4>
      </vt:variant>
      <vt:variant>
        <vt:i4>0</vt:i4>
      </vt:variant>
      <vt:variant>
        <vt:i4>5</vt:i4>
      </vt:variant>
      <vt:variant>
        <vt:lpwstr>http://www.iadb.org/countries/home.cfm?id_country=cr&amp;Language=English</vt:lpwstr>
      </vt:variant>
      <vt:variant>
        <vt:lpwstr/>
      </vt:variant>
      <vt:variant>
        <vt:i4>3735570</vt:i4>
      </vt:variant>
      <vt:variant>
        <vt:i4>72</vt:i4>
      </vt:variant>
      <vt:variant>
        <vt:i4>0</vt:i4>
      </vt:variant>
      <vt:variant>
        <vt:i4>5</vt:i4>
      </vt:variant>
      <vt:variant>
        <vt:lpwstr>http://www.iadb.org/countries/home.cfm?id_country=SU&amp;Language=English</vt:lpwstr>
      </vt:variant>
      <vt:variant>
        <vt:lpwstr/>
      </vt:variant>
      <vt:variant>
        <vt:i4>2293762</vt:i4>
      </vt:variant>
      <vt:variant>
        <vt:i4>69</vt:i4>
      </vt:variant>
      <vt:variant>
        <vt:i4>0</vt:i4>
      </vt:variant>
      <vt:variant>
        <vt:i4>5</vt:i4>
      </vt:variant>
      <vt:variant>
        <vt:lpwstr>http://www.iadb.org/countries/home.cfm?id_country=CO&amp;Language=English</vt:lpwstr>
      </vt:variant>
      <vt:variant>
        <vt:lpwstr/>
      </vt:variant>
      <vt:variant>
        <vt:i4>2293769</vt:i4>
      </vt:variant>
      <vt:variant>
        <vt:i4>66</vt:i4>
      </vt:variant>
      <vt:variant>
        <vt:i4>0</vt:i4>
      </vt:variant>
      <vt:variant>
        <vt:i4>5</vt:i4>
      </vt:variant>
      <vt:variant>
        <vt:lpwstr>http://www.iadb.org/countries/home.cfm?id_country=HO&amp;Language=English</vt:lpwstr>
      </vt:variant>
      <vt:variant>
        <vt:lpwstr/>
      </vt:variant>
      <vt:variant>
        <vt:i4>2359298</vt:i4>
      </vt:variant>
      <vt:variant>
        <vt:i4>63</vt:i4>
      </vt:variant>
      <vt:variant>
        <vt:i4>0</vt:i4>
      </vt:variant>
      <vt:variant>
        <vt:i4>5</vt:i4>
      </vt:variant>
      <vt:variant>
        <vt:lpwstr>http://www.iadb.org/countries/home.cfm?id_country=ch&amp;Language=English</vt:lpwstr>
      </vt:variant>
      <vt:variant>
        <vt:lpwstr/>
      </vt:variant>
      <vt:variant>
        <vt:i4>2949129</vt:i4>
      </vt:variant>
      <vt:variant>
        <vt:i4>60</vt:i4>
      </vt:variant>
      <vt:variant>
        <vt:i4>0</vt:i4>
      </vt:variant>
      <vt:variant>
        <vt:i4>5</vt:i4>
      </vt:variant>
      <vt:variant>
        <vt:lpwstr>http://www.iadb.org/countries/home.cfm?id_country=HA&amp;Language=English</vt:lpwstr>
      </vt:variant>
      <vt:variant>
        <vt:lpwstr/>
      </vt:variant>
      <vt:variant>
        <vt:i4>4063237</vt:i4>
      </vt:variant>
      <vt:variant>
        <vt:i4>57</vt:i4>
      </vt:variant>
      <vt:variant>
        <vt:i4>0</vt:i4>
      </vt:variant>
      <vt:variant>
        <vt:i4>5</vt:i4>
      </vt:variant>
      <vt:variant>
        <vt:lpwstr>http://www.iadb.org/countries/home.cfm?id_country=DR&amp;Language=English</vt:lpwstr>
      </vt:variant>
      <vt:variant>
        <vt:lpwstr/>
      </vt:variant>
      <vt:variant>
        <vt:i4>3473414</vt:i4>
      </vt:variant>
      <vt:variant>
        <vt:i4>54</vt:i4>
      </vt:variant>
      <vt:variant>
        <vt:i4>0</vt:i4>
      </vt:variant>
      <vt:variant>
        <vt:i4>5</vt:i4>
      </vt:variant>
      <vt:variant>
        <vt:lpwstr>http://www.iadb.org/countries/home.cfm?id_country=gy&amp;Language=English</vt:lpwstr>
      </vt:variant>
      <vt:variant>
        <vt:lpwstr/>
      </vt:variant>
      <vt:variant>
        <vt:i4>4063235</vt:i4>
      </vt:variant>
      <vt:variant>
        <vt:i4>51</vt:i4>
      </vt:variant>
      <vt:variant>
        <vt:i4>0</vt:i4>
      </vt:variant>
      <vt:variant>
        <vt:i4>5</vt:i4>
      </vt:variant>
      <vt:variant>
        <vt:lpwstr>http://www.iadb.org/countries/home.cfm?id_country=Br&amp;Language=English</vt:lpwstr>
      </vt:variant>
      <vt:variant>
        <vt:lpwstr/>
      </vt:variant>
      <vt:variant>
        <vt:i4>3735558</vt:i4>
      </vt:variant>
      <vt:variant>
        <vt:i4>48</vt:i4>
      </vt:variant>
      <vt:variant>
        <vt:i4>0</vt:i4>
      </vt:variant>
      <vt:variant>
        <vt:i4>5</vt:i4>
      </vt:variant>
      <vt:variant>
        <vt:lpwstr>http://www.iadb.org/countries/home.cfm?id_country=gu&amp;Language=English</vt:lpwstr>
      </vt:variant>
      <vt:variant>
        <vt:lpwstr/>
      </vt:variant>
      <vt:variant>
        <vt:i4>2293763</vt:i4>
      </vt:variant>
      <vt:variant>
        <vt:i4>45</vt:i4>
      </vt:variant>
      <vt:variant>
        <vt:i4>0</vt:i4>
      </vt:variant>
      <vt:variant>
        <vt:i4>5</vt:i4>
      </vt:variant>
      <vt:variant>
        <vt:lpwstr>http://www.iadb.org/countries/home.cfm?id_country=BO&amp;Language=English</vt:lpwstr>
      </vt:variant>
      <vt:variant>
        <vt:lpwstr/>
      </vt:variant>
      <vt:variant>
        <vt:i4>2097155</vt:i4>
      </vt:variant>
      <vt:variant>
        <vt:i4>42</vt:i4>
      </vt:variant>
      <vt:variant>
        <vt:i4>0</vt:i4>
      </vt:variant>
      <vt:variant>
        <vt:i4>5</vt:i4>
      </vt:variant>
      <vt:variant>
        <vt:lpwstr>http://www.iadb.org/countries/home.cfm?id_country=BL&amp;Language=English</vt:lpwstr>
      </vt:variant>
      <vt:variant>
        <vt:lpwstr/>
      </vt:variant>
      <vt:variant>
        <vt:i4>2686993</vt:i4>
      </vt:variant>
      <vt:variant>
        <vt:i4>39</vt:i4>
      </vt:variant>
      <vt:variant>
        <vt:i4>0</vt:i4>
      </vt:variant>
      <vt:variant>
        <vt:i4>5</vt:i4>
      </vt:variant>
      <vt:variant>
        <vt:lpwstr>http://www.iadb.org/countries/home.cfm?id_country=PE&amp;Language=English</vt:lpwstr>
      </vt:variant>
      <vt:variant>
        <vt:lpwstr/>
      </vt:variant>
      <vt:variant>
        <vt:i4>4063249</vt:i4>
      </vt:variant>
      <vt:variant>
        <vt:i4>36</vt:i4>
      </vt:variant>
      <vt:variant>
        <vt:i4>0</vt:i4>
      </vt:variant>
      <vt:variant>
        <vt:i4>5</vt:i4>
      </vt:variant>
      <vt:variant>
        <vt:lpwstr>http://www.iadb.org/countries/home.cfm?id_country=PR&amp;Language=English</vt:lpwstr>
      </vt:variant>
      <vt:variant>
        <vt:lpwstr/>
      </vt:variant>
      <vt:variant>
        <vt:i4>2949123</vt:i4>
      </vt:variant>
      <vt:variant>
        <vt:i4>33</vt:i4>
      </vt:variant>
      <vt:variant>
        <vt:i4>0</vt:i4>
      </vt:variant>
      <vt:variant>
        <vt:i4>5</vt:i4>
      </vt:variant>
      <vt:variant>
        <vt:lpwstr>http://www.iadb.org/countries/home.cfm?id_country=BA&amp;Language=English</vt:lpwstr>
      </vt:variant>
      <vt:variant>
        <vt:lpwstr/>
      </vt:variant>
      <vt:variant>
        <vt:i4>2228241</vt:i4>
      </vt:variant>
      <vt:variant>
        <vt:i4>30</vt:i4>
      </vt:variant>
      <vt:variant>
        <vt:i4>0</vt:i4>
      </vt:variant>
      <vt:variant>
        <vt:i4>5</vt:i4>
      </vt:variant>
      <vt:variant>
        <vt:lpwstr>http://www.iadb.org/countries/home.cfm?id_country=PN&amp;Language=English</vt:lpwstr>
      </vt:variant>
      <vt:variant>
        <vt:lpwstr/>
      </vt:variant>
      <vt:variant>
        <vt:i4>2359299</vt:i4>
      </vt:variant>
      <vt:variant>
        <vt:i4>27</vt:i4>
      </vt:variant>
      <vt:variant>
        <vt:i4>0</vt:i4>
      </vt:variant>
      <vt:variant>
        <vt:i4>5</vt:i4>
      </vt:variant>
      <vt:variant>
        <vt:lpwstr>http://www.iadb.org/countries/home.cfm?id_country=Bh&amp;Language=English</vt:lpwstr>
      </vt:variant>
      <vt:variant>
        <vt:lpwstr/>
      </vt:variant>
      <vt:variant>
        <vt:i4>4128772</vt:i4>
      </vt:variant>
      <vt:variant>
        <vt:i4>24</vt:i4>
      </vt:variant>
      <vt:variant>
        <vt:i4>0</vt:i4>
      </vt:variant>
      <vt:variant>
        <vt:i4>5</vt:i4>
      </vt:variant>
      <vt:variant>
        <vt:lpwstr>http://www.iadb.org/countries/home.cfm?id_country=es&amp;Language=English</vt:lpwstr>
      </vt:variant>
      <vt:variant>
        <vt:lpwstr/>
      </vt:variant>
      <vt:variant>
        <vt:i4>2424847</vt:i4>
      </vt:variant>
      <vt:variant>
        <vt:i4>21</vt:i4>
      </vt:variant>
      <vt:variant>
        <vt:i4>0</vt:i4>
      </vt:variant>
      <vt:variant>
        <vt:i4>5</vt:i4>
      </vt:variant>
      <vt:variant>
        <vt:lpwstr>http://www.iadb.org/countries/home.cfm?id_country=NI&amp;Language=English</vt:lpwstr>
      </vt:variant>
      <vt:variant>
        <vt:lpwstr/>
      </vt:variant>
      <vt:variant>
        <vt:i4>3080196</vt:i4>
      </vt:variant>
      <vt:variant>
        <vt:i4>18</vt:i4>
      </vt:variant>
      <vt:variant>
        <vt:i4>0</vt:i4>
      </vt:variant>
      <vt:variant>
        <vt:i4>5</vt:i4>
      </vt:variant>
      <vt:variant>
        <vt:lpwstr>http://www.iadb.org/countries/home.cfm?id_country=EC&amp;Language=English</vt:lpwstr>
      </vt:variant>
      <vt:variant>
        <vt:lpwstr/>
      </vt:variant>
      <vt:variant>
        <vt:i4>4063232</vt:i4>
      </vt:variant>
      <vt:variant>
        <vt:i4>15</vt:i4>
      </vt:variant>
      <vt:variant>
        <vt:i4>0</vt:i4>
      </vt:variant>
      <vt:variant>
        <vt:i4>5</vt:i4>
      </vt:variant>
      <vt:variant>
        <vt:lpwstr>http://www.iadb.org/countries/home.cfm?id_country=AR&amp;Language=English</vt:lpwstr>
      </vt:variant>
      <vt:variant>
        <vt:lpwstr/>
      </vt:variant>
      <vt:variant>
        <vt:i4>4325403</vt:i4>
      </vt:variant>
      <vt:variant>
        <vt:i4>12</vt:i4>
      </vt:variant>
      <vt:variant>
        <vt:i4>0</vt:i4>
      </vt:variant>
      <vt:variant>
        <vt:i4>5</vt:i4>
      </vt:variant>
      <vt:variant>
        <vt:lpwstr>http://www.iadb.org/aboutus/VI/borrowing.cfm?lang=es</vt:lpwstr>
      </vt:variant>
      <vt:variant>
        <vt:lpwstr/>
      </vt:variant>
      <vt:variant>
        <vt:i4>4915220</vt:i4>
      </vt:variant>
      <vt:variant>
        <vt:i4>9</vt:i4>
      </vt:variant>
      <vt:variant>
        <vt:i4>0</vt:i4>
      </vt:variant>
      <vt:variant>
        <vt:i4>5</vt:i4>
      </vt:variant>
      <vt:variant>
        <vt:lpwstr>http://www.basel.int/</vt:lpwstr>
      </vt:variant>
      <vt:variant>
        <vt:lpwstr/>
      </vt:variant>
      <vt:variant>
        <vt:i4>655384</vt:i4>
      </vt:variant>
      <vt:variant>
        <vt:i4>6</vt:i4>
      </vt:variant>
      <vt:variant>
        <vt:i4>0</vt:i4>
      </vt:variant>
      <vt:variant>
        <vt:i4>5</vt:i4>
      </vt:variant>
      <vt:variant>
        <vt:lpwstr>http://www.unep.org/ozone/montreal.shtml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CRÉDITO</dc:title>
  <dc:creator>MVZ0000</dc:creator>
  <cp:lastModifiedBy>annabellag</cp:lastModifiedBy>
  <cp:revision>7</cp:revision>
  <cp:lastPrinted>2015-09-18T17:07:00Z</cp:lastPrinted>
  <dcterms:created xsi:type="dcterms:W3CDTF">2015-09-29T14:57:00Z</dcterms:created>
  <dcterms:modified xsi:type="dcterms:W3CDTF">2016-02-08T16:41:00Z</dcterms:modified>
</cp:coreProperties>
</file>