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31" w:rsidRDefault="00FB7F31" w:rsidP="00666A05">
      <w:pPr>
        <w:jc w:val="both"/>
        <w:rPr>
          <w:b/>
          <w:color w:val="595959" w:themeColor="text1" w:themeTint="A6"/>
          <w:sz w:val="44"/>
          <w:szCs w:val="44"/>
        </w:rPr>
      </w:pPr>
      <w:bookmarkStart w:id="0" w:name="_GoBack"/>
      <w:bookmarkEnd w:id="0"/>
      <w:r>
        <w:rPr>
          <w:b/>
          <w:color w:val="595959" w:themeColor="text1" w:themeTint="A6"/>
          <w:sz w:val="44"/>
          <w:szCs w:val="44"/>
        </w:rPr>
        <w:t xml:space="preserve">Gestión de riesgo de crédito en </w:t>
      </w:r>
      <w:proofErr w:type="spellStart"/>
      <w:r>
        <w:rPr>
          <w:b/>
          <w:color w:val="595959" w:themeColor="text1" w:themeTint="A6"/>
          <w:sz w:val="44"/>
          <w:szCs w:val="44"/>
        </w:rPr>
        <w:t>Bancóldex</w:t>
      </w:r>
      <w:proofErr w:type="spellEnd"/>
    </w:p>
    <w:p w:rsidR="00FB7F31" w:rsidRDefault="00FB7F31" w:rsidP="00666A05">
      <w:pPr>
        <w:jc w:val="both"/>
        <w:rPr>
          <w:b/>
          <w:color w:val="595959" w:themeColor="text1" w:themeTint="A6"/>
          <w:sz w:val="44"/>
          <w:szCs w:val="44"/>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La gestión de riesgo de crédito en </w:t>
      </w:r>
      <w:proofErr w:type="spellStart"/>
      <w:r w:rsidRPr="0075776B">
        <w:rPr>
          <w:rFonts w:asciiTheme="minorHAnsi" w:hAnsiTheme="minorHAnsi"/>
          <w:sz w:val="22"/>
          <w:szCs w:val="22"/>
        </w:rPr>
        <w:t>Bancóldex</w:t>
      </w:r>
      <w:proofErr w:type="spellEnd"/>
      <w:r w:rsidRPr="0075776B">
        <w:rPr>
          <w:rFonts w:asciiTheme="minorHAnsi" w:hAnsiTheme="minorHAnsi"/>
          <w:sz w:val="22"/>
          <w:szCs w:val="22"/>
        </w:rPr>
        <w:t xml:space="preserve"> está alineada con las normas establecidas por la Superintendencia Financiera de Colombia, principios enmarcados en las mejores prácticas internacionales y comprende cuatro elementos: políticas, procesos y procedimientos, metodologías de otorgamiento y seguimiento y auditoría.  Las políticas y reglas básicas para el manejo de las operaciones de crédito también amparan las operaciones de tesorería,  particularmente, para el caso de las contrapartes con la que se realizan interbancarios y operaciones de derivados, entre otros)   </w:t>
      </w:r>
    </w:p>
    <w:p w:rsidR="00FB7F31" w:rsidRPr="0075776B" w:rsidRDefault="00FB7F31" w:rsidP="00FB7F31">
      <w:pPr>
        <w:autoSpaceDE w:val="0"/>
        <w:autoSpaceDN w:val="0"/>
        <w:adjustRightInd w:val="0"/>
        <w:jc w:val="both"/>
        <w:rPr>
          <w:rFonts w:asciiTheme="minorHAnsi" w:hAnsiTheme="minorHAnsi"/>
          <w:sz w:val="22"/>
          <w:szCs w:val="22"/>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El Banco cuenta con metodologías de análisis de riesgo de crédito para los diferentes segmentos que atiende (establecimientos de crédito locales, intermediarios financieros del exterior, entidades orientadas a crédito </w:t>
      </w:r>
      <w:proofErr w:type="spellStart"/>
      <w:r w:rsidRPr="0075776B">
        <w:rPr>
          <w:rFonts w:asciiTheme="minorHAnsi" w:hAnsiTheme="minorHAnsi"/>
          <w:sz w:val="22"/>
          <w:szCs w:val="22"/>
        </w:rPr>
        <w:t>microempresarial</w:t>
      </w:r>
      <w:proofErr w:type="spellEnd"/>
      <w:r w:rsidRPr="0075776B">
        <w:rPr>
          <w:rFonts w:asciiTheme="minorHAnsi" w:hAnsiTheme="minorHAnsi"/>
          <w:sz w:val="22"/>
          <w:szCs w:val="22"/>
        </w:rPr>
        <w:t>, entre otras) que se fundamentan en la metodología CAMEL e incorporan aspectos cuantitativos, cualitativos y evaluación de gobierno corporativo. Durante el 201</w:t>
      </w:r>
      <w:r>
        <w:rPr>
          <w:rFonts w:asciiTheme="minorHAnsi" w:hAnsiTheme="minorHAnsi"/>
          <w:sz w:val="22"/>
          <w:szCs w:val="22"/>
        </w:rPr>
        <w:t>4</w:t>
      </w:r>
      <w:r w:rsidRPr="0075776B">
        <w:rPr>
          <w:rFonts w:asciiTheme="minorHAnsi" w:hAnsiTheme="minorHAnsi"/>
          <w:sz w:val="22"/>
          <w:szCs w:val="22"/>
        </w:rPr>
        <w:t>, en todos los segmentos se fortalecieron los reportes periódicos de alertas tempranas</w:t>
      </w:r>
      <w:r>
        <w:rPr>
          <w:rFonts w:asciiTheme="minorHAnsi" w:hAnsiTheme="minorHAnsi"/>
          <w:sz w:val="22"/>
          <w:szCs w:val="22"/>
        </w:rPr>
        <w:t xml:space="preserve"> y los análisis de proyecciones y escenarios</w:t>
      </w:r>
      <w:r w:rsidRPr="0075776B">
        <w:rPr>
          <w:rFonts w:asciiTheme="minorHAnsi" w:hAnsiTheme="minorHAnsi"/>
          <w:sz w:val="22"/>
          <w:szCs w:val="22"/>
        </w:rPr>
        <w:t>.</w:t>
      </w:r>
    </w:p>
    <w:p w:rsidR="00FB7F31" w:rsidRPr="008C2DFD" w:rsidRDefault="00FB7F31" w:rsidP="00FB7F31">
      <w:pPr>
        <w:autoSpaceDE w:val="0"/>
        <w:autoSpaceDN w:val="0"/>
        <w:adjustRightInd w:val="0"/>
        <w:jc w:val="both"/>
        <w:rPr>
          <w:rFonts w:asciiTheme="minorHAnsi" w:hAnsiTheme="minorHAnsi"/>
          <w:sz w:val="22"/>
          <w:szCs w:val="22"/>
          <w:highlight w:val="yellow"/>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La Vicepresidencia de Riesgo reporta periódicamente a la Junta Directiva y a los diferentes Comités los resultados de los análisis de riesgo crediticio  y la evolución del perfil de riesgo tanto de las operaciones de crédito del Banco, como de las  contrapartes.     </w:t>
      </w:r>
    </w:p>
    <w:p w:rsidR="00FB7F31" w:rsidRPr="00BD67D9" w:rsidRDefault="00FB7F31" w:rsidP="00FB7F31">
      <w:pPr>
        <w:jc w:val="both"/>
        <w:rPr>
          <w:rFonts w:asciiTheme="minorHAnsi" w:hAnsiTheme="minorHAnsi"/>
          <w:sz w:val="22"/>
          <w:szCs w:val="22"/>
          <w:lang w:val="es-CO"/>
        </w:rPr>
      </w:pPr>
    </w:p>
    <w:p w:rsidR="00FB7F31" w:rsidRDefault="00FB7F31" w:rsidP="00FB7F31">
      <w:pPr>
        <w:jc w:val="both"/>
        <w:outlineLvl w:val="0"/>
        <w:rPr>
          <w:rFonts w:asciiTheme="minorHAnsi" w:hAnsiTheme="minorHAnsi"/>
          <w:sz w:val="22"/>
          <w:szCs w:val="22"/>
        </w:rPr>
      </w:pPr>
      <w:r w:rsidRPr="00CF4E79">
        <w:rPr>
          <w:rFonts w:asciiTheme="minorHAnsi" w:hAnsiTheme="minorHAnsi"/>
          <w:sz w:val="22"/>
          <w:szCs w:val="22"/>
        </w:rPr>
        <w:t xml:space="preserve">Los procesos y la tecnología adoptados por </w:t>
      </w:r>
      <w:proofErr w:type="spellStart"/>
      <w:r w:rsidRPr="00CF4E79">
        <w:rPr>
          <w:rFonts w:asciiTheme="minorHAnsi" w:hAnsiTheme="minorHAnsi"/>
          <w:sz w:val="22"/>
          <w:szCs w:val="22"/>
        </w:rPr>
        <w:t>Bancóldex</w:t>
      </w:r>
      <w:proofErr w:type="spellEnd"/>
      <w:r w:rsidRPr="00CF4E79">
        <w:rPr>
          <w:rFonts w:asciiTheme="minorHAnsi" w:hAnsiTheme="minorHAnsi"/>
          <w:sz w:val="22"/>
          <w:szCs w:val="22"/>
        </w:rPr>
        <w:t xml:space="preserve"> le permiten administrar cualquier operación de crédito en las etapas de otorgamiento, seguimiento y recuperación. Los créditos se otorgan en función de límites  globales (montos máximos de exposición) que resultan de la aplicación de las diferentes metodologías.</w:t>
      </w:r>
    </w:p>
    <w:p w:rsidR="00FB7F31" w:rsidRDefault="00FB7F31" w:rsidP="00FB7F31">
      <w:pPr>
        <w:jc w:val="both"/>
        <w:outlineLvl w:val="0"/>
        <w:rPr>
          <w:rFonts w:asciiTheme="minorHAnsi" w:hAnsiTheme="minorHAnsi"/>
          <w:sz w:val="22"/>
          <w:szCs w:val="22"/>
        </w:rPr>
      </w:pPr>
    </w:p>
    <w:p w:rsidR="00FB7F31" w:rsidRDefault="00FB7F31" w:rsidP="00FB7F31">
      <w:pPr>
        <w:jc w:val="both"/>
        <w:outlineLvl w:val="0"/>
        <w:rPr>
          <w:rFonts w:asciiTheme="minorHAnsi" w:hAnsiTheme="minorHAnsi"/>
          <w:sz w:val="22"/>
          <w:szCs w:val="22"/>
        </w:rPr>
      </w:pPr>
      <w:r>
        <w:rPr>
          <w:rFonts w:asciiTheme="minorHAnsi" w:hAnsiTheme="minorHAnsi"/>
          <w:sz w:val="22"/>
          <w:szCs w:val="22"/>
        </w:rPr>
        <w:t xml:space="preserve">A continuación se presenta un breve resumen de las metodologías de evaluación de riesgo de crédito que utiliza el Banco para evaluar </w:t>
      </w:r>
      <w:r w:rsidR="008C6A5C">
        <w:rPr>
          <w:rFonts w:asciiTheme="minorHAnsi" w:hAnsiTheme="minorHAnsi"/>
          <w:sz w:val="22"/>
          <w:szCs w:val="22"/>
        </w:rPr>
        <w:t>los distintos tipos de deudores:</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Metodología para la evaluación de riesgo de intermediarios financieros de Colombia</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Metodología para la evaluación de riesgo de intermediarios financieros del exterior</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 xml:space="preserve">Metodología para la evaluación de riesgo de entidades orientadas a crédito </w:t>
      </w:r>
      <w:proofErr w:type="spellStart"/>
      <w:r>
        <w:rPr>
          <w:rFonts w:asciiTheme="minorHAnsi" w:hAnsiTheme="minorHAnsi"/>
          <w:sz w:val="22"/>
          <w:szCs w:val="22"/>
        </w:rPr>
        <w:t>microempresarial</w:t>
      </w:r>
      <w:proofErr w:type="spellEnd"/>
      <w:r>
        <w:rPr>
          <w:rFonts w:asciiTheme="minorHAnsi" w:hAnsiTheme="minorHAnsi"/>
          <w:sz w:val="22"/>
          <w:szCs w:val="22"/>
        </w:rPr>
        <w:t xml:space="preserve"> (</w:t>
      </w:r>
      <w:proofErr w:type="spellStart"/>
      <w:r>
        <w:rPr>
          <w:rFonts w:asciiTheme="minorHAnsi" w:hAnsiTheme="minorHAnsi"/>
          <w:sz w:val="22"/>
          <w:szCs w:val="22"/>
        </w:rPr>
        <w:t>EOCMs</w:t>
      </w:r>
      <w:proofErr w:type="spellEnd"/>
      <w:r>
        <w:rPr>
          <w:rFonts w:asciiTheme="minorHAnsi" w:hAnsiTheme="minorHAnsi"/>
          <w:sz w:val="22"/>
          <w:szCs w:val="22"/>
        </w:rPr>
        <w:t>)</w:t>
      </w:r>
    </w:p>
    <w:p w:rsidR="008C6A5C" w:rsidRDefault="008C6A5C" w:rsidP="008C6A5C">
      <w:pPr>
        <w:pStyle w:val="ListParagraph"/>
        <w:numPr>
          <w:ilvl w:val="0"/>
          <w:numId w:val="11"/>
        </w:numPr>
        <w:jc w:val="both"/>
        <w:outlineLvl w:val="0"/>
        <w:rPr>
          <w:rFonts w:asciiTheme="minorHAnsi" w:hAnsiTheme="minorHAnsi"/>
          <w:sz w:val="22"/>
          <w:szCs w:val="22"/>
        </w:rPr>
      </w:pPr>
    </w:p>
    <w:p w:rsidR="00FB7F31" w:rsidRPr="00FB7F31" w:rsidRDefault="00FB7F31" w:rsidP="009A30CD">
      <w:pPr>
        <w:jc w:val="both"/>
        <w:rPr>
          <w:b/>
          <w:color w:val="A6A6A6" w:themeColor="background1" w:themeShade="A6"/>
          <w:sz w:val="28"/>
          <w:szCs w:val="28"/>
        </w:rPr>
      </w:pPr>
    </w:p>
    <w:p w:rsidR="00765B6E" w:rsidRPr="00FB7F31" w:rsidRDefault="004A597F" w:rsidP="00FB7F31">
      <w:pPr>
        <w:pStyle w:val="ListParagraph"/>
        <w:numPr>
          <w:ilvl w:val="0"/>
          <w:numId w:val="10"/>
        </w:numPr>
        <w:jc w:val="both"/>
        <w:rPr>
          <w:b/>
          <w:color w:val="A6A6A6" w:themeColor="background1" w:themeShade="A6"/>
          <w:sz w:val="28"/>
          <w:szCs w:val="28"/>
        </w:rPr>
      </w:pPr>
      <w:r w:rsidRPr="00FB7F31">
        <w:rPr>
          <w:b/>
          <w:color w:val="A6A6A6" w:themeColor="background1" w:themeShade="A6"/>
          <w:sz w:val="28"/>
          <w:szCs w:val="28"/>
        </w:rPr>
        <w:t xml:space="preserve">Metodología para asignación de </w:t>
      </w:r>
      <w:r w:rsidR="00B65CDF" w:rsidRPr="00FB7F31">
        <w:rPr>
          <w:b/>
          <w:color w:val="A6A6A6" w:themeColor="background1" w:themeShade="A6"/>
          <w:sz w:val="28"/>
          <w:szCs w:val="28"/>
        </w:rPr>
        <w:t>límite</w:t>
      </w:r>
      <w:r w:rsidRPr="00FB7F31">
        <w:rPr>
          <w:b/>
          <w:color w:val="A6A6A6" w:themeColor="background1" w:themeShade="A6"/>
          <w:sz w:val="28"/>
          <w:szCs w:val="28"/>
        </w:rPr>
        <w:t xml:space="preserve"> de </w:t>
      </w:r>
      <w:r w:rsidR="00B65CDF" w:rsidRPr="00FB7F31">
        <w:rPr>
          <w:b/>
          <w:color w:val="A6A6A6" w:themeColor="background1" w:themeShade="A6"/>
          <w:sz w:val="28"/>
          <w:szCs w:val="28"/>
        </w:rPr>
        <w:t xml:space="preserve">riesgo </w:t>
      </w:r>
      <w:r w:rsidR="006F7C14" w:rsidRPr="00FB7F31">
        <w:rPr>
          <w:b/>
          <w:color w:val="A6A6A6" w:themeColor="background1" w:themeShade="A6"/>
          <w:sz w:val="28"/>
          <w:szCs w:val="28"/>
        </w:rPr>
        <w:t>I</w:t>
      </w:r>
      <w:r w:rsidR="00FB7F31">
        <w:rPr>
          <w:b/>
          <w:color w:val="A6A6A6" w:themeColor="background1" w:themeShade="A6"/>
          <w:sz w:val="28"/>
          <w:szCs w:val="28"/>
        </w:rPr>
        <w:t xml:space="preserve">ntermediarios financieros </w:t>
      </w:r>
      <w:r w:rsidRPr="00FB7F31">
        <w:rPr>
          <w:b/>
          <w:color w:val="A6A6A6" w:themeColor="background1" w:themeShade="A6"/>
          <w:sz w:val="28"/>
          <w:szCs w:val="28"/>
        </w:rPr>
        <w:t>colombianos</w:t>
      </w:r>
    </w:p>
    <w:p w:rsidR="00C268A4" w:rsidRPr="00D90EA3" w:rsidRDefault="00C268A4" w:rsidP="00666A05">
      <w:pPr>
        <w:jc w:val="both"/>
        <w:rPr>
          <w:color w:val="262626" w:themeColor="text1" w:themeTint="D9"/>
        </w:rPr>
      </w:pPr>
    </w:p>
    <w:p w:rsidR="00C61DD3" w:rsidRPr="00D90EA3" w:rsidRDefault="006F7C14" w:rsidP="004A597F">
      <w:pPr>
        <w:pStyle w:val="BodyTextIndent3"/>
        <w:ind w:left="0" w:firstLine="0"/>
        <w:rPr>
          <w:rFonts w:ascii="Calibri" w:hAnsi="Calibri"/>
          <w:szCs w:val="22"/>
        </w:rPr>
      </w:pPr>
      <w:r>
        <w:rPr>
          <w:rFonts w:ascii="Calibri" w:hAnsi="Calibri"/>
          <w:szCs w:val="22"/>
        </w:rPr>
        <w:t xml:space="preserve">Para evaluar el riesgo </w:t>
      </w:r>
      <w:r w:rsidR="00C61DD3" w:rsidRPr="00D90EA3">
        <w:rPr>
          <w:rFonts w:ascii="Calibri" w:hAnsi="Calibri"/>
          <w:szCs w:val="22"/>
        </w:rPr>
        <w:t xml:space="preserve">de los </w:t>
      </w:r>
      <w:proofErr w:type="spellStart"/>
      <w:r>
        <w:rPr>
          <w:rFonts w:ascii="Calibri" w:hAnsi="Calibri"/>
          <w:szCs w:val="22"/>
        </w:rPr>
        <w:t>IF</w:t>
      </w:r>
      <w:r w:rsidR="00C61DD3" w:rsidRPr="00D90EA3">
        <w:rPr>
          <w:rFonts w:ascii="Calibri" w:hAnsi="Calibri"/>
          <w:szCs w:val="22"/>
        </w:rPr>
        <w:t>s</w:t>
      </w:r>
      <w:proofErr w:type="spellEnd"/>
      <w:r w:rsidR="00C61DD3" w:rsidRPr="00D90EA3">
        <w:rPr>
          <w:rFonts w:ascii="Calibri" w:hAnsi="Calibri"/>
          <w:szCs w:val="22"/>
        </w:rPr>
        <w:t xml:space="preserve"> colombianos, el Banco cuenta con una metodología (modelo) de otorgamiento, seguimiento y control desarrollado internamente.  Así mismo, en los casos en que se requiera, se realizan análisis financieros exhaustivos.</w:t>
      </w:r>
    </w:p>
    <w:p w:rsidR="00C61DD3" w:rsidRPr="00D90EA3" w:rsidRDefault="00C61DD3" w:rsidP="004A597F">
      <w:pPr>
        <w:pStyle w:val="BodyTextIndent3"/>
        <w:ind w:left="0" w:firstLine="0"/>
        <w:rPr>
          <w:rFonts w:ascii="Calibri" w:hAnsi="Calibri"/>
          <w:szCs w:val="22"/>
        </w:rPr>
      </w:pPr>
    </w:p>
    <w:p w:rsidR="00C61DD3" w:rsidRPr="00D90EA3" w:rsidRDefault="00C61DD3" w:rsidP="004A597F">
      <w:pPr>
        <w:pStyle w:val="BodyTextIndent3"/>
        <w:ind w:left="0" w:firstLine="0"/>
        <w:rPr>
          <w:rFonts w:ascii="Calibri" w:hAnsi="Calibri"/>
          <w:szCs w:val="22"/>
        </w:rPr>
      </w:pPr>
      <w:r w:rsidRPr="00D90EA3">
        <w:rPr>
          <w:rFonts w:ascii="Calibri" w:hAnsi="Calibri"/>
          <w:szCs w:val="22"/>
        </w:rPr>
        <w:t>Con la ayuda del modelo se realiza un seguimiento mensual del comportamiento de los principales indicadores financieros de cada una de las entidades del sistema y se obtiene una calificación de riesgo.  El modelo está basado en los lineamientos de la metodología CAMEL (</w:t>
      </w:r>
      <w:r w:rsidRPr="00D90EA3">
        <w:rPr>
          <w:rFonts w:ascii="Calibri" w:hAnsi="Calibri"/>
          <w:i/>
          <w:iCs/>
          <w:szCs w:val="22"/>
        </w:rPr>
        <w:t xml:space="preserve">Capital, </w:t>
      </w:r>
      <w:proofErr w:type="spellStart"/>
      <w:r w:rsidRPr="00D90EA3">
        <w:rPr>
          <w:rFonts w:ascii="Calibri" w:hAnsi="Calibri"/>
          <w:szCs w:val="22"/>
        </w:rPr>
        <w:t>Asset</w:t>
      </w:r>
      <w:proofErr w:type="spellEnd"/>
      <w:r w:rsidRPr="00D90EA3">
        <w:rPr>
          <w:rFonts w:ascii="Calibri" w:hAnsi="Calibri"/>
          <w:i/>
          <w:iCs/>
          <w:szCs w:val="22"/>
        </w:rPr>
        <w:t xml:space="preserve">, Management, </w:t>
      </w:r>
      <w:proofErr w:type="spellStart"/>
      <w:r w:rsidRPr="00D90EA3">
        <w:rPr>
          <w:rFonts w:ascii="Calibri" w:hAnsi="Calibri"/>
          <w:i/>
          <w:iCs/>
          <w:szCs w:val="22"/>
        </w:rPr>
        <w:t>Earnings</w:t>
      </w:r>
      <w:proofErr w:type="spellEnd"/>
      <w:r w:rsidRPr="00D90EA3">
        <w:rPr>
          <w:rFonts w:ascii="Calibri" w:hAnsi="Calibri"/>
          <w:i/>
          <w:iCs/>
          <w:szCs w:val="22"/>
        </w:rPr>
        <w:t xml:space="preserve">, </w:t>
      </w:r>
      <w:proofErr w:type="spellStart"/>
      <w:r w:rsidRPr="00D90EA3">
        <w:rPr>
          <w:rFonts w:ascii="Calibri" w:hAnsi="Calibri"/>
          <w:i/>
          <w:iCs/>
          <w:szCs w:val="22"/>
        </w:rPr>
        <w:t>Liquidity</w:t>
      </w:r>
      <w:proofErr w:type="spellEnd"/>
      <w:r w:rsidRPr="00D90EA3">
        <w:rPr>
          <w:rFonts w:ascii="Calibri" w:hAnsi="Calibri"/>
          <w:szCs w:val="22"/>
        </w:rPr>
        <w:t xml:space="preserve">) y cuenta con un sistema de señales y alertas que permiten anticipar situaciones de alto riesgo.  </w:t>
      </w:r>
      <w:r w:rsidR="003509C8">
        <w:rPr>
          <w:rFonts w:ascii="Calibri" w:hAnsi="Calibri"/>
          <w:szCs w:val="22"/>
        </w:rPr>
        <w:t xml:space="preserve">Adicionalmente, el modelo incorpora la evaluación de algunos aspectos cualitativos como gobierno corporativo, posicionamiento en el mercado, estructura organizacional, control y gestión de riesgos, respaldo accionistas y gestión ambiental. </w:t>
      </w:r>
      <w:r w:rsidRPr="00D90EA3">
        <w:rPr>
          <w:rFonts w:ascii="Calibri" w:hAnsi="Calibri"/>
          <w:szCs w:val="22"/>
        </w:rPr>
        <w:t xml:space="preserve">De acuerdo con los resultados generados por el modelo, </w:t>
      </w:r>
      <w:r w:rsidR="00B73F57">
        <w:rPr>
          <w:rFonts w:ascii="Calibri" w:hAnsi="Calibri"/>
          <w:szCs w:val="22"/>
        </w:rPr>
        <w:t xml:space="preserve">existe la posibilidad de </w:t>
      </w:r>
      <w:r w:rsidRPr="00D90EA3">
        <w:rPr>
          <w:rFonts w:ascii="Calibri" w:hAnsi="Calibri"/>
          <w:szCs w:val="22"/>
        </w:rPr>
        <w:t>selecciona</w:t>
      </w:r>
      <w:r w:rsidR="00B73F57">
        <w:rPr>
          <w:rFonts w:ascii="Calibri" w:hAnsi="Calibri"/>
          <w:szCs w:val="22"/>
        </w:rPr>
        <w:t>r</w:t>
      </w:r>
      <w:r w:rsidRPr="00D90EA3">
        <w:rPr>
          <w:rFonts w:ascii="Calibri" w:hAnsi="Calibri"/>
          <w:szCs w:val="22"/>
        </w:rPr>
        <w:t xml:space="preserve"> aquellas entidades que</w:t>
      </w:r>
      <w:r w:rsidR="00B64299">
        <w:rPr>
          <w:rFonts w:ascii="Calibri" w:hAnsi="Calibri"/>
          <w:szCs w:val="22"/>
        </w:rPr>
        <w:t xml:space="preserve"> por cambios significativos en la </w:t>
      </w:r>
      <w:r w:rsidRPr="00D90EA3">
        <w:rPr>
          <w:rFonts w:ascii="Calibri" w:hAnsi="Calibri"/>
          <w:szCs w:val="22"/>
        </w:rPr>
        <w:t xml:space="preserve">en </w:t>
      </w:r>
      <w:r w:rsidR="00B64299">
        <w:rPr>
          <w:rFonts w:ascii="Calibri" w:hAnsi="Calibri"/>
          <w:szCs w:val="22"/>
        </w:rPr>
        <w:t>la</w:t>
      </w:r>
      <w:r w:rsidRPr="00D90EA3">
        <w:rPr>
          <w:rFonts w:ascii="Calibri" w:hAnsi="Calibri"/>
          <w:szCs w:val="22"/>
        </w:rPr>
        <w:t xml:space="preserve"> situación financiera </w:t>
      </w:r>
      <w:r w:rsidR="00B64299">
        <w:rPr>
          <w:rFonts w:ascii="Calibri" w:hAnsi="Calibri"/>
          <w:szCs w:val="22"/>
        </w:rPr>
        <w:t xml:space="preserve">deben ser sujetos de un </w:t>
      </w:r>
      <w:r w:rsidRPr="00D90EA3">
        <w:rPr>
          <w:rFonts w:ascii="Calibri" w:hAnsi="Calibri"/>
          <w:szCs w:val="22"/>
        </w:rPr>
        <w:t xml:space="preserve"> análisis financiero en forma exhaustiva.  La metodología permite calificar a las entidades en una escala de </w:t>
      </w:r>
      <w:smartTag w:uri="urn:schemas-microsoft-com:office:smarttags" w:element="metricconverter">
        <w:smartTagPr>
          <w:attr w:name="ProductID" w:val="1 a"/>
        </w:smartTagPr>
        <w:r w:rsidRPr="00D90EA3">
          <w:rPr>
            <w:rFonts w:ascii="Calibri" w:hAnsi="Calibri"/>
            <w:szCs w:val="22"/>
          </w:rPr>
          <w:t>1 a</w:t>
        </w:r>
      </w:smartTag>
      <w:r w:rsidRPr="00D90EA3">
        <w:rPr>
          <w:rFonts w:ascii="Calibri" w:hAnsi="Calibri"/>
          <w:szCs w:val="22"/>
        </w:rPr>
        <w:t xml:space="preserve"> 5, donde 1 es la calificación que refleja menor riesgo.</w:t>
      </w:r>
    </w:p>
    <w:p w:rsidR="00C61DD3" w:rsidRPr="00D90EA3" w:rsidRDefault="00C61DD3" w:rsidP="004A597F">
      <w:pPr>
        <w:pStyle w:val="BodyTextIndent3"/>
        <w:ind w:left="0" w:firstLine="0"/>
        <w:rPr>
          <w:rFonts w:ascii="Calibri" w:hAnsi="Calibri"/>
          <w:szCs w:val="22"/>
        </w:rPr>
      </w:pPr>
    </w:p>
    <w:p w:rsidR="00C61DD3" w:rsidRDefault="00C61DD3" w:rsidP="004A597F">
      <w:pPr>
        <w:jc w:val="both"/>
        <w:rPr>
          <w:sz w:val="22"/>
          <w:szCs w:val="22"/>
        </w:rPr>
      </w:pPr>
      <w:r w:rsidRPr="00D90EA3">
        <w:rPr>
          <w:sz w:val="22"/>
          <w:szCs w:val="22"/>
        </w:rPr>
        <w:t xml:space="preserve">En el análisis financiero exhaustivo se realiza un informe detallado y especializado de la situación financiera de las entidades. </w:t>
      </w:r>
    </w:p>
    <w:p w:rsidR="00CF37FA" w:rsidRPr="00D90EA3" w:rsidRDefault="00CF37FA" w:rsidP="004A597F">
      <w:pPr>
        <w:jc w:val="both"/>
        <w:rPr>
          <w:sz w:val="22"/>
          <w:szCs w:val="22"/>
        </w:rPr>
      </w:pPr>
    </w:p>
    <w:p w:rsidR="00C61DD3" w:rsidRPr="00D90EA3" w:rsidRDefault="00C61DD3" w:rsidP="004A597F">
      <w:pPr>
        <w:jc w:val="both"/>
        <w:rPr>
          <w:sz w:val="22"/>
          <w:szCs w:val="22"/>
        </w:rPr>
      </w:pPr>
      <w:r w:rsidRPr="00D90EA3">
        <w:rPr>
          <w:sz w:val="22"/>
          <w:szCs w:val="22"/>
        </w:rPr>
        <w:t xml:space="preserve">Como parte integral del análisis de los </w:t>
      </w:r>
      <w:proofErr w:type="spellStart"/>
      <w:r w:rsidR="006F7C14">
        <w:rPr>
          <w:sz w:val="22"/>
          <w:szCs w:val="22"/>
        </w:rPr>
        <w:t>IFs</w:t>
      </w:r>
      <w:proofErr w:type="spellEnd"/>
      <w:r w:rsidRPr="00D90EA3">
        <w:rPr>
          <w:sz w:val="22"/>
          <w:szCs w:val="22"/>
        </w:rPr>
        <w:t xml:space="preserve">, el Banco realiza una evaluación del sistema financiero con objetivo de determinar los riesgos actuales y potenciales que pueden afectar el desempeño de las entidades financieras. </w:t>
      </w:r>
    </w:p>
    <w:p w:rsidR="003C598A" w:rsidRPr="00D90EA3" w:rsidRDefault="003C598A" w:rsidP="004A597F">
      <w:pPr>
        <w:jc w:val="both"/>
        <w:rPr>
          <w:sz w:val="22"/>
          <w:szCs w:val="22"/>
        </w:rPr>
      </w:pPr>
    </w:p>
    <w:p w:rsidR="003C598A" w:rsidRPr="00D90EA3" w:rsidRDefault="003C598A" w:rsidP="004A597F">
      <w:pPr>
        <w:jc w:val="both"/>
        <w:rPr>
          <w:sz w:val="22"/>
          <w:szCs w:val="22"/>
          <w:u w:val="single"/>
        </w:rPr>
      </w:pPr>
      <w:r w:rsidRPr="00D90EA3">
        <w:rPr>
          <w:sz w:val="22"/>
          <w:szCs w:val="22"/>
          <w:u w:val="single"/>
        </w:rPr>
        <w:t>Asignación de límite</w:t>
      </w:r>
      <w:r w:rsidR="00CF37FA">
        <w:rPr>
          <w:sz w:val="22"/>
          <w:szCs w:val="22"/>
          <w:u w:val="single"/>
        </w:rPr>
        <w:t xml:space="preserve"> de crédito</w:t>
      </w:r>
    </w:p>
    <w:p w:rsidR="003C598A" w:rsidRPr="00D90EA3" w:rsidRDefault="003C598A" w:rsidP="004A597F">
      <w:pPr>
        <w:jc w:val="both"/>
        <w:rPr>
          <w:sz w:val="22"/>
          <w:szCs w:val="22"/>
          <w:u w:val="single"/>
        </w:rPr>
      </w:pPr>
    </w:p>
    <w:p w:rsidR="002D4316" w:rsidRPr="00D90EA3" w:rsidRDefault="002D4316" w:rsidP="002D4316">
      <w:pPr>
        <w:jc w:val="both"/>
        <w:rPr>
          <w:sz w:val="22"/>
          <w:lang w:val="es-ES"/>
        </w:rPr>
      </w:pPr>
      <w:r w:rsidRPr="00D90EA3">
        <w:rPr>
          <w:sz w:val="22"/>
          <w:lang w:val="es-ES"/>
        </w:rPr>
        <w:t xml:space="preserve">La determinación de los límites globales </w:t>
      </w:r>
      <w:r w:rsidR="00CF37FA">
        <w:rPr>
          <w:sz w:val="22"/>
          <w:lang w:val="es-ES"/>
        </w:rPr>
        <w:t xml:space="preserve">de crédito </w:t>
      </w:r>
      <w:r w:rsidRPr="00D90EA3">
        <w:rPr>
          <w:sz w:val="22"/>
          <w:lang w:val="es-ES"/>
        </w:rPr>
        <w:t xml:space="preserve">por intermediario se hace teniendo en cuenta la calificación de riesgo asignada por el Banco. Dicho </w:t>
      </w:r>
      <w:r w:rsidR="00950E09">
        <w:rPr>
          <w:sz w:val="22"/>
          <w:lang w:val="es-ES"/>
        </w:rPr>
        <w:t>límite</w:t>
      </w:r>
      <w:r w:rsidRPr="00D90EA3">
        <w:rPr>
          <w:sz w:val="22"/>
          <w:lang w:val="es-ES"/>
        </w:rPr>
        <w:t xml:space="preserve"> se calcula con base en el patrimonio básico de  </w:t>
      </w:r>
      <w:proofErr w:type="spellStart"/>
      <w:r w:rsidRPr="00D90EA3">
        <w:rPr>
          <w:sz w:val="22"/>
          <w:lang w:val="es-ES"/>
        </w:rPr>
        <w:t>Bancóldex</w:t>
      </w:r>
      <w:proofErr w:type="spellEnd"/>
      <w:r w:rsidRPr="00D90EA3">
        <w:rPr>
          <w:sz w:val="22"/>
          <w:lang w:val="es-ES"/>
        </w:rPr>
        <w:t xml:space="preserve"> y el patrimonio básico del intermediario de acuerdo con los porcentajes establecidos en la siguiente tabla. El límite asignado al intermediario resulta de tomar el menor valor de la aplicación de los dos parámetros.</w:t>
      </w:r>
    </w:p>
    <w:p w:rsidR="002D4316" w:rsidRPr="00D90EA3" w:rsidRDefault="002D4316" w:rsidP="004A597F">
      <w:pPr>
        <w:jc w:val="both"/>
        <w:rPr>
          <w:sz w:val="22"/>
          <w:szCs w:val="22"/>
          <w:u w:val="single"/>
        </w:rPr>
      </w:pPr>
    </w:p>
    <w:p w:rsidR="003C598A" w:rsidRPr="00D90EA3" w:rsidRDefault="003C598A" w:rsidP="004A597F">
      <w:pPr>
        <w:jc w:val="both"/>
        <w:rPr>
          <w:sz w:val="22"/>
          <w:szCs w:val="22"/>
          <w:u w:val="single"/>
        </w:rPr>
      </w:pPr>
      <w:r w:rsidRPr="00D90EA3">
        <w:rPr>
          <w:rFonts w:cs="Arial"/>
          <w:b/>
          <w:sz w:val="22"/>
          <w:szCs w:val="22"/>
        </w:rPr>
        <w:t>Bancos, Corporaciones Financieras</w:t>
      </w:r>
      <w:r w:rsidRPr="00D90EA3">
        <w:rPr>
          <w:rStyle w:val="FootnoteReference"/>
          <w:rFonts w:cs="Arial"/>
          <w:b/>
          <w:sz w:val="22"/>
          <w:szCs w:val="22"/>
        </w:rPr>
        <w:footnoteReference w:id="1"/>
      </w:r>
      <w:r w:rsidRPr="00D90EA3">
        <w:rPr>
          <w:rFonts w:cs="Arial"/>
          <w:b/>
          <w:sz w:val="22"/>
          <w:szCs w:val="22"/>
        </w:rPr>
        <w:t>, Compañías de Financiamiento  (consumo y leasing, Cooperativas Financieras vigiladas por SF y Cooperativas de grado superior</w:t>
      </w:r>
    </w:p>
    <w:p w:rsidR="003C598A" w:rsidRPr="00D90EA3" w:rsidRDefault="003C598A" w:rsidP="004A597F">
      <w:pPr>
        <w:jc w:val="both"/>
        <w:rPr>
          <w:sz w:val="22"/>
          <w:szCs w:val="22"/>
          <w:u w:val="single"/>
        </w:rPr>
      </w:pPr>
    </w:p>
    <w:tbl>
      <w:tblPr>
        <w:tblW w:w="5537" w:type="dxa"/>
        <w:jc w:val="center"/>
        <w:tblInd w:w="-14" w:type="dxa"/>
        <w:tblCellMar>
          <w:left w:w="0" w:type="dxa"/>
          <w:right w:w="0" w:type="dxa"/>
        </w:tblCellMar>
        <w:tblLook w:val="04A0" w:firstRow="1" w:lastRow="0" w:firstColumn="1" w:lastColumn="0" w:noHBand="0" w:noVBand="1"/>
      </w:tblPr>
      <w:tblGrid>
        <w:gridCol w:w="20"/>
        <w:gridCol w:w="1406"/>
        <w:gridCol w:w="2127"/>
        <w:gridCol w:w="1984"/>
      </w:tblGrid>
      <w:tr w:rsidR="004444D3" w:rsidRPr="00FB0BD8" w:rsidTr="00A279BE">
        <w:trPr>
          <w:trHeight w:val="198"/>
          <w:jc w:val="center"/>
        </w:trPr>
        <w:tc>
          <w:tcPr>
            <w:tcW w:w="1426" w:type="dxa"/>
            <w:gridSpan w:val="2"/>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
                <w:bCs/>
                <w:iCs/>
                <w:sz w:val="18"/>
                <w:szCs w:val="22"/>
                <w:lang w:val="es-CO"/>
              </w:rPr>
              <w:t>Calificación</w:t>
            </w:r>
          </w:p>
        </w:tc>
        <w:tc>
          <w:tcPr>
            <w:tcW w:w="2127" w:type="dxa"/>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proofErr w:type="spellStart"/>
            <w:r w:rsidRPr="00FB0BD8">
              <w:rPr>
                <w:rFonts w:cs="Arial"/>
                <w:b/>
                <w:bCs/>
                <w:iCs/>
                <w:sz w:val="18"/>
                <w:szCs w:val="22"/>
                <w:lang w:val="es-CO"/>
              </w:rPr>
              <w:t>Capital+Reserva</w:t>
            </w:r>
            <w:proofErr w:type="spellEnd"/>
            <w:r w:rsidRPr="00FB0BD8">
              <w:rPr>
                <w:rFonts w:cs="Arial"/>
                <w:b/>
                <w:bCs/>
                <w:iCs/>
                <w:sz w:val="18"/>
                <w:szCs w:val="22"/>
                <w:lang w:val="es-CO"/>
              </w:rPr>
              <w:t xml:space="preserve"> Legal de </w:t>
            </w:r>
            <w:proofErr w:type="spellStart"/>
            <w:r w:rsidRPr="00FB0BD8">
              <w:rPr>
                <w:rFonts w:cs="Arial"/>
                <w:b/>
                <w:bCs/>
                <w:iCs/>
                <w:sz w:val="18"/>
                <w:szCs w:val="22"/>
                <w:lang w:val="es-CO"/>
              </w:rPr>
              <w:t>Bancóldex</w:t>
            </w:r>
            <w:proofErr w:type="spellEnd"/>
          </w:p>
          <w:p w:rsidR="003C598A" w:rsidRPr="00FB0BD8" w:rsidRDefault="003C598A" w:rsidP="0076240B">
            <w:pPr>
              <w:pStyle w:val="BodyText3"/>
              <w:ind w:left="284"/>
              <w:jc w:val="center"/>
              <w:rPr>
                <w:rFonts w:cs="Arial"/>
                <w:iCs/>
                <w:sz w:val="18"/>
                <w:szCs w:val="22"/>
                <w:lang w:val="es-CO"/>
              </w:rPr>
            </w:pPr>
            <w:r w:rsidRPr="00FB0BD8">
              <w:rPr>
                <w:rFonts w:cs="Arial"/>
                <w:b/>
                <w:bCs/>
                <w:iCs/>
                <w:sz w:val="18"/>
                <w:szCs w:val="22"/>
                <w:lang w:val="es-CO"/>
              </w:rPr>
              <w:t>(veces)</w:t>
            </w:r>
          </w:p>
        </w:tc>
        <w:tc>
          <w:tcPr>
            <w:tcW w:w="1984" w:type="dxa"/>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proofErr w:type="spellStart"/>
            <w:r w:rsidRPr="00FB0BD8">
              <w:rPr>
                <w:rFonts w:cs="Arial"/>
                <w:b/>
                <w:bCs/>
                <w:iCs/>
                <w:sz w:val="18"/>
                <w:szCs w:val="22"/>
                <w:lang w:val="es-CO"/>
              </w:rPr>
              <w:t>Capital+Reserva</w:t>
            </w:r>
            <w:proofErr w:type="spellEnd"/>
            <w:r w:rsidRPr="00FB0BD8">
              <w:rPr>
                <w:rFonts w:cs="Arial"/>
                <w:b/>
                <w:bCs/>
                <w:iCs/>
                <w:sz w:val="18"/>
                <w:szCs w:val="22"/>
                <w:lang w:val="es-CO"/>
              </w:rPr>
              <w:t xml:space="preserve"> Legal de la entidad (veces)</w:t>
            </w:r>
          </w:p>
        </w:tc>
      </w:tr>
      <w:tr w:rsidR="004444D3" w:rsidRPr="00FB0BD8" w:rsidTr="00A279BE">
        <w:trPr>
          <w:trHeight w:val="192"/>
          <w:jc w:val="center"/>
        </w:trPr>
        <w:tc>
          <w:tcPr>
            <w:tcW w:w="1426" w:type="dxa"/>
            <w:gridSpan w:val="2"/>
            <w:tcBorders>
              <w:top w:val="nil"/>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1</w:t>
            </w:r>
          </w:p>
        </w:tc>
        <w:tc>
          <w:tcPr>
            <w:tcW w:w="2127" w:type="dxa"/>
            <w:tcBorders>
              <w:top w:val="nil"/>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1,6</w:t>
            </w:r>
          </w:p>
        </w:tc>
        <w:tc>
          <w:tcPr>
            <w:tcW w:w="1984" w:type="dxa"/>
            <w:tcBorders>
              <w:top w:val="nil"/>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6,0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2+</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1,4</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5,5</w:t>
            </w:r>
          </w:p>
        </w:tc>
      </w:tr>
      <w:tr w:rsidR="004444D3" w:rsidRPr="00FB0BD8" w:rsidTr="00A279BE">
        <w:trPr>
          <w:trHeight w:val="5"/>
          <w:jc w:val="center"/>
        </w:trPr>
        <w:tc>
          <w:tcPr>
            <w:tcW w:w="20"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p>
        </w:tc>
        <w:tc>
          <w:tcPr>
            <w:tcW w:w="1406"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2</w:t>
            </w:r>
          </w:p>
        </w:tc>
        <w:tc>
          <w:tcPr>
            <w:tcW w:w="2127"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1,2</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5,0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3+</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1,0</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4,5</w:t>
            </w:r>
          </w:p>
        </w:tc>
      </w:tr>
      <w:tr w:rsidR="004444D3" w:rsidRPr="00FB0BD8" w:rsidTr="00A279BE">
        <w:trPr>
          <w:trHeight w:val="5"/>
          <w:jc w:val="center"/>
        </w:trPr>
        <w:tc>
          <w:tcPr>
            <w:tcW w:w="20"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p>
        </w:tc>
        <w:tc>
          <w:tcPr>
            <w:tcW w:w="1406"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3</w:t>
            </w:r>
          </w:p>
        </w:tc>
        <w:tc>
          <w:tcPr>
            <w:tcW w:w="2127" w:type="dxa"/>
            <w:tcBorders>
              <w:top w:val="nil"/>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0,8</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4,0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4</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0,4</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2,0</w:t>
            </w:r>
          </w:p>
        </w:tc>
      </w:tr>
      <w:tr w:rsidR="004444D3" w:rsidRPr="00FB0BD8" w:rsidTr="00A279BE">
        <w:trPr>
          <w:trHeight w:val="18"/>
          <w:jc w:val="center"/>
        </w:trPr>
        <w:tc>
          <w:tcPr>
            <w:tcW w:w="1426" w:type="dxa"/>
            <w:gridSpan w:val="2"/>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5</w:t>
            </w:r>
          </w:p>
        </w:tc>
        <w:tc>
          <w:tcPr>
            <w:tcW w:w="2127"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0,0</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0,0</w:t>
            </w:r>
          </w:p>
        </w:tc>
      </w:tr>
    </w:tbl>
    <w:p w:rsidR="003C598A" w:rsidRPr="00D90EA3" w:rsidRDefault="003C598A" w:rsidP="004A597F">
      <w:pPr>
        <w:jc w:val="both"/>
        <w:rPr>
          <w:sz w:val="22"/>
          <w:szCs w:val="22"/>
          <w:u w:val="single"/>
        </w:rPr>
      </w:pPr>
    </w:p>
    <w:p w:rsidR="004444D3" w:rsidRPr="00D90EA3" w:rsidRDefault="004444D3" w:rsidP="004A597F">
      <w:pPr>
        <w:jc w:val="both"/>
        <w:rPr>
          <w:sz w:val="22"/>
          <w:szCs w:val="22"/>
          <w:u w:val="single"/>
        </w:rPr>
      </w:pPr>
    </w:p>
    <w:p w:rsidR="00FC6898" w:rsidRPr="00D90EA3" w:rsidRDefault="00FC6898" w:rsidP="004A597F">
      <w:pPr>
        <w:jc w:val="both"/>
        <w:rPr>
          <w:sz w:val="22"/>
          <w:szCs w:val="22"/>
          <w:u w:val="single"/>
        </w:rPr>
      </w:pPr>
    </w:p>
    <w:p w:rsidR="0039329B" w:rsidRPr="00D90EA3" w:rsidRDefault="0039329B" w:rsidP="00E12285">
      <w:pPr>
        <w:jc w:val="both"/>
        <w:rPr>
          <w:color w:val="262626" w:themeColor="text1" w:themeTint="D9"/>
          <w:sz w:val="22"/>
          <w:highlight w:val="yellow"/>
        </w:rPr>
      </w:pPr>
    </w:p>
    <w:p w:rsidR="004A597F" w:rsidRPr="0033089B" w:rsidRDefault="004A597F" w:rsidP="0033089B">
      <w:pPr>
        <w:pStyle w:val="ListParagraph"/>
        <w:numPr>
          <w:ilvl w:val="0"/>
          <w:numId w:val="10"/>
        </w:numPr>
        <w:jc w:val="both"/>
        <w:rPr>
          <w:b/>
          <w:color w:val="A6A6A6" w:themeColor="background1" w:themeShade="A6"/>
          <w:sz w:val="28"/>
          <w:szCs w:val="28"/>
        </w:rPr>
      </w:pPr>
      <w:r w:rsidRPr="0033089B">
        <w:rPr>
          <w:b/>
          <w:color w:val="A6A6A6" w:themeColor="background1" w:themeShade="A6"/>
          <w:sz w:val="28"/>
          <w:szCs w:val="28"/>
        </w:rPr>
        <w:t xml:space="preserve">Metodología para asignación de </w:t>
      </w:r>
      <w:r w:rsidR="00B65CDF" w:rsidRPr="0033089B">
        <w:rPr>
          <w:b/>
          <w:color w:val="A6A6A6" w:themeColor="background1" w:themeShade="A6"/>
          <w:sz w:val="28"/>
          <w:szCs w:val="28"/>
        </w:rPr>
        <w:t>límite</w:t>
      </w:r>
      <w:r w:rsidRPr="0033089B">
        <w:rPr>
          <w:b/>
          <w:color w:val="A6A6A6" w:themeColor="background1" w:themeShade="A6"/>
          <w:sz w:val="28"/>
          <w:szCs w:val="28"/>
        </w:rPr>
        <w:t xml:space="preserve"> </w:t>
      </w:r>
      <w:r w:rsidR="00B65CDF" w:rsidRPr="0033089B">
        <w:rPr>
          <w:b/>
          <w:color w:val="A6A6A6" w:themeColor="background1" w:themeShade="A6"/>
          <w:sz w:val="28"/>
          <w:szCs w:val="28"/>
        </w:rPr>
        <w:t xml:space="preserve">de riesgo </w:t>
      </w:r>
      <w:proofErr w:type="spellStart"/>
      <w:r w:rsidR="006F7C14" w:rsidRPr="0033089B">
        <w:rPr>
          <w:b/>
          <w:color w:val="A6A6A6" w:themeColor="background1" w:themeShade="A6"/>
          <w:sz w:val="28"/>
          <w:szCs w:val="28"/>
        </w:rPr>
        <w:t>IF</w:t>
      </w:r>
      <w:r w:rsidR="001505DA" w:rsidRPr="0033089B">
        <w:rPr>
          <w:b/>
          <w:color w:val="A6A6A6" w:themeColor="background1" w:themeShade="A6"/>
          <w:sz w:val="28"/>
          <w:szCs w:val="28"/>
        </w:rPr>
        <w:t>s</w:t>
      </w:r>
      <w:proofErr w:type="spellEnd"/>
      <w:r w:rsidR="001505DA" w:rsidRPr="0033089B">
        <w:rPr>
          <w:b/>
          <w:color w:val="A6A6A6" w:themeColor="background1" w:themeShade="A6"/>
          <w:sz w:val="28"/>
          <w:szCs w:val="28"/>
        </w:rPr>
        <w:t xml:space="preserve"> </w:t>
      </w:r>
      <w:r w:rsidRPr="0033089B">
        <w:rPr>
          <w:b/>
          <w:color w:val="A6A6A6" w:themeColor="background1" w:themeShade="A6"/>
          <w:sz w:val="28"/>
          <w:szCs w:val="28"/>
        </w:rPr>
        <w:t xml:space="preserve">del Exterior </w:t>
      </w:r>
    </w:p>
    <w:p w:rsidR="004A597F" w:rsidRPr="00D90EA3" w:rsidRDefault="004A597F" w:rsidP="004A597F">
      <w:pPr>
        <w:jc w:val="both"/>
        <w:rPr>
          <w:b/>
          <w:color w:val="A6A6A6" w:themeColor="background1" w:themeShade="A6"/>
          <w:sz w:val="32"/>
          <w:szCs w:val="44"/>
        </w:rPr>
      </w:pPr>
    </w:p>
    <w:p w:rsidR="004A597F" w:rsidRPr="00D90EA3" w:rsidRDefault="004A597F" w:rsidP="004A597F">
      <w:pPr>
        <w:jc w:val="both"/>
        <w:rPr>
          <w:sz w:val="22"/>
          <w:szCs w:val="22"/>
        </w:rPr>
      </w:pPr>
      <w:r w:rsidRPr="00D90EA3">
        <w:rPr>
          <w:sz w:val="22"/>
          <w:szCs w:val="22"/>
        </w:rPr>
        <w:t xml:space="preserve">El riesgo de crédito de los </w:t>
      </w:r>
      <w:r w:rsidR="006F7C14">
        <w:rPr>
          <w:sz w:val="22"/>
          <w:szCs w:val="22"/>
        </w:rPr>
        <w:t>intermediarios</w:t>
      </w:r>
      <w:r w:rsidRPr="00D90EA3">
        <w:rPr>
          <w:sz w:val="22"/>
          <w:szCs w:val="22"/>
        </w:rPr>
        <w:t xml:space="preserve"> del exterior se evalúa mediante un proceso que incluye el análisis del país, del sistema bancario del país en el que se encuentra el intermediario y el análisis financiero exhaustivo de cada intermediario.  </w:t>
      </w:r>
    </w:p>
    <w:p w:rsidR="004A597F" w:rsidRDefault="004A597F" w:rsidP="004A597F">
      <w:pPr>
        <w:ind w:left="360"/>
        <w:jc w:val="both"/>
        <w:rPr>
          <w:sz w:val="22"/>
          <w:szCs w:val="22"/>
        </w:rPr>
      </w:pPr>
    </w:p>
    <w:p w:rsidR="00C028EC" w:rsidRDefault="00C028EC" w:rsidP="004A597F">
      <w:pPr>
        <w:ind w:left="360"/>
        <w:jc w:val="both"/>
        <w:rPr>
          <w:sz w:val="22"/>
          <w:szCs w:val="22"/>
        </w:rPr>
      </w:pPr>
    </w:p>
    <w:p w:rsidR="00C028EC" w:rsidRPr="00D90EA3" w:rsidRDefault="00C028EC" w:rsidP="00C028EC">
      <w:pPr>
        <w:jc w:val="both"/>
        <w:rPr>
          <w:sz w:val="22"/>
          <w:szCs w:val="22"/>
        </w:rPr>
      </w:pPr>
      <w:r w:rsidRPr="00D90EA3">
        <w:rPr>
          <w:sz w:val="22"/>
          <w:szCs w:val="22"/>
        </w:rPr>
        <w:t xml:space="preserve">Para la evaluación del riesgo soberano, el interés del Banco se centra en la identificación y medición de los riesgos derivados de situaciones económicas y políticas que puedan comprometer la recuperación de los recursos prestados en el exterior. Es decir, la evaluación de elementos que puedan afectar la solvencia y la liquidez de un país o que impidan la transferibilidad o convertibilidad de divisas para el pago de obligaciones externas. </w:t>
      </w:r>
      <w:r>
        <w:rPr>
          <w:sz w:val="22"/>
          <w:szCs w:val="22"/>
        </w:rPr>
        <w:t xml:space="preserve"> </w:t>
      </w:r>
      <w:r w:rsidRPr="00D90EA3">
        <w:rPr>
          <w:sz w:val="22"/>
          <w:szCs w:val="22"/>
        </w:rPr>
        <w:t xml:space="preserve">El sistema de evaluación se basa en el seguimiento de un grupo de variables macroeconómicas con un nivel de riesgo asociado, de acuerdo con una tabla de valores críticos. La calificación definitiva se obtiene a partir del resultado de la evaluación de las variables macroeconómicas y de un análisis del entorno político y social del país. El seguimiento se realiza mensualmente a través de la actualización de las principales variables macroeconómicas y la incorporación de las principales noticias políticas y económicas.  La metodología permite calificar a las entidades en una escala de </w:t>
      </w:r>
      <w:smartTag w:uri="urn:schemas-microsoft-com:office:smarttags" w:element="metricconverter">
        <w:smartTagPr>
          <w:attr w:name="ProductID" w:val="1 a"/>
        </w:smartTagPr>
        <w:r w:rsidRPr="00D90EA3">
          <w:rPr>
            <w:sz w:val="22"/>
            <w:szCs w:val="22"/>
          </w:rPr>
          <w:t>1 a</w:t>
        </w:r>
      </w:smartTag>
      <w:r w:rsidRPr="00D90EA3">
        <w:rPr>
          <w:sz w:val="22"/>
          <w:szCs w:val="22"/>
        </w:rPr>
        <w:t xml:space="preserve"> 6, donde 1 es la calificación que refleja menor riesgo.</w:t>
      </w:r>
    </w:p>
    <w:p w:rsidR="00C028EC" w:rsidRPr="00D90EA3" w:rsidRDefault="00C028EC" w:rsidP="00C028EC">
      <w:pPr>
        <w:jc w:val="both"/>
        <w:rPr>
          <w:sz w:val="22"/>
          <w:szCs w:val="22"/>
        </w:rPr>
      </w:pPr>
    </w:p>
    <w:p w:rsidR="00C028EC" w:rsidRPr="00D90EA3" w:rsidRDefault="00C028EC" w:rsidP="004A597F">
      <w:pPr>
        <w:ind w:left="360"/>
        <w:jc w:val="both"/>
        <w:rPr>
          <w:sz w:val="22"/>
          <w:szCs w:val="22"/>
        </w:rPr>
      </w:pPr>
    </w:p>
    <w:p w:rsidR="004A597F" w:rsidRPr="00D90EA3" w:rsidRDefault="004A597F" w:rsidP="004A597F">
      <w:pPr>
        <w:jc w:val="both"/>
        <w:rPr>
          <w:sz w:val="22"/>
          <w:szCs w:val="22"/>
        </w:rPr>
      </w:pPr>
      <w:r w:rsidRPr="00D90EA3">
        <w:rPr>
          <w:sz w:val="22"/>
          <w:szCs w:val="22"/>
        </w:rPr>
        <w:t xml:space="preserve">En el análisis de </w:t>
      </w:r>
      <w:proofErr w:type="spellStart"/>
      <w:r w:rsidR="006F7C14">
        <w:rPr>
          <w:sz w:val="22"/>
          <w:szCs w:val="22"/>
        </w:rPr>
        <w:t>IF</w:t>
      </w:r>
      <w:r w:rsidRPr="00D90EA3">
        <w:rPr>
          <w:sz w:val="22"/>
          <w:szCs w:val="22"/>
        </w:rPr>
        <w:t>s</w:t>
      </w:r>
      <w:proofErr w:type="spellEnd"/>
      <w:r w:rsidRPr="00D90EA3">
        <w:rPr>
          <w:sz w:val="22"/>
          <w:szCs w:val="22"/>
        </w:rPr>
        <w:t xml:space="preserve"> del exterior es en </w:t>
      </w:r>
      <w:r w:rsidR="002E7252" w:rsidRPr="00D90EA3">
        <w:rPr>
          <w:sz w:val="22"/>
          <w:szCs w:val="22"/>
        </w:rPr>
        <w:t>todos los casos exhaustivos</w:t>
      </w:r>
      <w:r w:rsidRPr="00D90EA3">
        <w:rPr>
          <w:sz w:val="22"/>
          <w:szCs w:val="22"/>
        </w:rPr>
        <w:t xml:space="preserve">, en el que se realiza un informe detallado y especializado de la situación financiera de las entidades. Este análisis incluye la evaluación del comportamiento de los principales indicadores financieros relevantes según el esquema CAMEL y tiene en cuenta variables cualitativas como las políticas de crédito, la gestión de riesgos, el respaldo de sus accionistas, las personas que conforman la administración de la entidad, </w:t>
      </w:r>
      <w:r w:rsidR="00253620">
        <w:rPr>
          <w:sz w:val="22"/>
          <w:szCs w:val="22"/>
        </w:rPr>
        <w:t>entre otros aspectos</w:t>
      </w:r>
      <w:r w:rsidRPr="00D90EA3">
        <w:rPr>
          <w:sz w:val="22"/>
          <w:szCs w:val="22"/>
        </w:rPr>
        <w:t>.</w:t>
      </w:r>
      <w:r w:rsidR="00FC6898" w:rsidRPr="00D90EA3">
        <w:rPr>
          <w:szCs w:val="22"/>
        </w:rPr>
        <w:t xml:space="preserve">  </w:t>
      </w:r>
      <w:r w:rsidR="00FC6898" w:rsidRPr="00FC6898">
        <w:rPr>
          <w:sz w:val="22"/>
          <w:szCs w:val="22"/>
        </w:rPr>
        <w:t xml:space="preserve">La metodología de evaluación de riesgo permite calificar a las entidades en una escala de </w:t>
      </w:r>
      <w:smartTag w:uri="urn:schemas-microsoft-com:office:smarttags" w:element="metricconverter">
        <w:smartTagPr>
          <w:attr w:name="ProductID" w:val="1 a"/>
        </w:smartTagPr>
        <w:r w:rsidR="00FC6898" w:rsidRPr="00FC6898">
          <w:rPr>
            <w:sz w:val="22"/>
            <w:szCs w:val="22"/>
          </w:rPr>
          <w:t>1 a</w:t>
        </w:r>
      </w:smartTag>
      <w:r w:rsidR="00FC6898" w:rsidRPr="00FC6898">
        <w:rPr>
          <w:sz w:val="22"/>
          <w:szCs w:val="22"/>
        </w:rPr>
        <w:t xml:space="preserve"> </w:t>
      </w:r>
      <w:r w:rsidR="00CE1F3B">
        <w:rPr>
          <w:sz w:val="22"/>
          <w:szCs w:val="22"/>
        </w:rPr>
        <w:t>5</w:t>
      </w:r>
      <w:r w:rsidR="00FC6898" w:rsidRPr="00FC6898">
        <w:rPr>
          <w:sz w:val="22"/>
          <w:szCs w:val="22"/>
        </w:rPr>
        <w:t>, donde 1 es la calificación que refleja menor riesgo.</w:t>
      </w:r>
    </w:p>
    <w:p w:rsidR="004A597F" w:rsidRPr="00D90EA3" w:rsidRDefault="004A597F" w:rsidP="004A597F">
      <w:pPr>
        <w:ind w:left="360"/>
        <w:jc w:val="both"/>
        <w:rPr>
          <w:sz w:val="22"/>
          <w:szCs w:val="22"/>
        </w:rPr>
      </w:pPr>
    </w:p>
    <w:p w:rsidR="00FC6898" w:rsidRDefault="00FC6898" w:rsidP="004A597F">
      <w:pPr>
        <w:jc w:val="both"/>
        <w:rPr>
          <w:sz w:val="22"/>
          <w:szCs w:val="22"/>
        </w:rPr>
      </w:pPr>
    </w:p>
    <w:p w:rsidR="008F6635" w:rsidRPr="00D90EA3" w:rsidRDefault="008F6635" w:rsidP="008F6635">
      <w:pPr>
        <w:jc w:val="both"/>
        <w:rPr>
          <w:sz w:val="22"/>
          <w:szCs w:val="22"/>
          <w:u w:val="single"/>
        </w:rPr>
      </w:pPr>
      <w:r w:rsidRPr="00D90EA3">
        <w:rPr>
          <w:sz w:val="22"/>
          <w:szCs w:val="22"/>
          <w:u w:val="single"/>
        </w:rPr>
        <w:t>Asignación de límite</w:t>
      </w:r>
    </w:p>
    <w:p w:rsidR="008F6635" w:rsidRPr="00D90EA3" w:rsidRDefault="008F6635" w:rsidP="008F6635">
      <w:pPr>
        <w:jc w:val="both"/>
        <w:rPr>
          <w:sz w:val="22"/>
          <w:szCs w:val="22"/>
          <w:u w:val="single"/>
        </w:rPr>
      </w:pPr>
    </w:p>
    <w:p w:rsidR="00FC6898" w:rsidRDefault="00FC6898" w:rsidP="00D90EA3">
      <w:pPr>
        <w:jc w:val="both"/>
        <w:rPr>
          <w:rFonts w:cs="Arial"/>
          <w:sz w:val="22"/>
          <w:szCs w:val="22"/>
        </w:rPr>
      </w:pPr>
      <w:r w:rsidRPr="00D90EA3">
        <w:rPr>
          <w:sz w:val="22"/>
          <w:lang w:val="es-ES"/>
        </w:rPr>
        <w:t>La determinación de los límites globales por intermediario se hace teniendo en cuenta la calificación de riesgo asignada por el Banco. El límite asignado al intermediario resulta de tomar el menor valor de la aplicación de los dos parámetros</w:t>
      </w:r>
      <w:r>
        <w:rPr>
          <w:sz w:val="22"/>
          <w:lang w:val="es-ES"/>
        </w:rPr>
        <w:t xml:space="preserve"> que se describen a continuación:</w:t>
      </w:r>
    </w:p>
    <w:p w:rsidR="00FC6898" w:rsidRDefault="00FC6898" w:rsidP="00D90EA3">
      <w:pPr>
        <w:jc w:val="both"/>
        <w:rPr>
          <w:rFonts w:cs="Arial"/>
          <w:sz w:val="22"/>
          <w:szCs w:val="22"/>
        </w:rPr>
      </w:pPr>
    </w:p>
    <w:tbl>
      <w:tblPr>
        <w:tblW w:w="0" w:type="auto"/>
        <w:jc w:val="center"/>
        <w:tblInd w:w="701" w:type="dxa"/>
        <w:tblLayout w:type="fixed"/>
        <w:tblCellMar>
          <w:left w:w="0" w:type="dxa"/>
          <w:right w:w="0" w:type="dxa"/>
        </w:tblCellMar>
        <w:tblLook w:val="04A0" w:firstRow="1" w:lastRow="0" w:firstColumn="1" w:lastColumn="0" w:noHBand="0" w:noVBand="1"/>
      </w:tblPr>
      <w:tblGrid>
        <w:gridCol w:w="1319"/>
        <w:gridCol w:w="2292"/>
        <w:gridCol w:w="2126"/>
      </w:tblGrid>
      <w:tr w:rsidR="00D90EA3" w:rsidRPr="00FB0BD8" w:rsidTr="00FB0BD8">
        <w:trPr>
          <w:trHeight w:val="20"/>
          <w:jc w:val="center"/>
        </w:trPr>
        <w:tc>
          <w:tcPr>
            <w:tcW w:w="1319"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r w:rsidRPr="00FB0BD8">
              <w:rPr>
                <w:rFonts w:cs="Arial"/>
                <w:b/>
                <w:bCs/>
                <w:iCs/>
                <w:sz w:val="18"/>
                <w:szCs w:val="22"/>
              </w:rPr>
              <w:t>Calificación</w:t>
            </w:r>
          </w:p>
        </w:tc>
        <w:tc>
          <w:tcPr>
            <w:tcW w:w="2292"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proofErr w:type="spellStart"/>
            <w:r w:rsidRPr="00FB0BD8">
              <w:rPr>
                <w:rFonts w:cs="Arial"/>
                <w:b/>
                <w:bCs/>
                <w:iCs/>
                <w:sz w:val="18"/>
                <w:szCs w:val="22"/>
              </w:rPr>
              <w:t>Capital+Reserva</w:t>
            </w:r>
            <w:proofErr w:type="spellEnd"/>
            <w:r w:rsidRPr="00FB0BD8">
              <w:rPr>
                <w:rFonts w:cs="Arial"/>
                <w:b/>
                <w:bCs/>
                <w:iCs/>
                <w:sz w:val="18"/>
                <w:szCs w:val="22"/>
              </w:rPr>
              <w:t xml:space="preserve"> Legal de </w:t>
            </w:r>
            <w:proofErr w:type="spellStart"/>
            <w:r w:rsidRPr="00FB0BD8">
              <w:rPr>
                <w:rFonts w:cs="Arial"/>
                <w:b/>
                <w:bCs/>
                <w:iCs/>
                <w:sz w:val="18"/>
                <w:szCs w:val="22"/>
              </w:rPr>
              <w:t>Bancóldex</w:t>
            </w:r>
            <w:proofErr w:type="spellEnd"/>
          </w:p>
          <w:p w:rsidR="00D90EA3" w:rsidRPr="00FB0BD8" w:rsidRDefault="00D90EA3" w:rsidP="0076240B">
            <w:pPr>
              <w:jc w:val="center"/>
              <w:rPr>
                <w:rFonts w:cs="Arial"/>
                <w:b/>
                <w:iCs/>
                <w:sz w:val="18"/>
                <w:szCs w:val="22"/>
              </w:rPr>
            </w:pPr>
            <w:r w:rsidRPr="00FB0BD8">
              <w:rPr>
                <w:rFonts w:cs="Arial"/>
                <w:b/>
                <w:bCs/>
                <w:iCs/>
                <w:sz w:val="18"/>
                <w:szCs w:val="22"/>
              </w:rPr>
              <w:t>(veces)</w:t>
            </w:r>
          </w:p>
        </w:tc>
        <w:tc>
          <w:tcPr>
            <w:tcW w:w="2126"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proofErr w:type="spellStart"/>
            <w:r w:rsidRPr="00FB0BD8">
              <w:rPr>
                <w:rFonts w:cs="Arial"/>
                <w:b/>
                <w:bCs/>
                <w:iCs/>
                <w:sz w:val="18"/>
                <w:szCs w:val="22"/>
              </w:rPr>
              <w:t>Capital+Reserva</w:t>
            </w:r>
            <w:proofErr w:type="spellEnd"/>
            <w:r w:rsidRPr="00FB0BD8">
              <w:rPr>
                <w:rFonts w:cs="Arial"/>
                <w:b/>
                <w:bCs/>
                <w:iCs/>
                <w:sz w:val="18"/>
                <w:szCs w:val="22"/>
              </w:rPr>
              <w:t xml:space="preserve"> Legal de la entidad (veces)</w:t>
            </w:r>
          </w:p>
        </w:tc>
      </w:tr>
      <w:tr w:rsidR="00D90EA3" w:rsidRPr="00FB0BD8" w:rsidTr="00FB0BD8">
        <w:trPr>
          <w:trHeight w:val="20"/>
          <w:jc w:val="center"/>
        </w:trPr>
        <w:tc>
          <w:tcPr>
            <w:tcW w:w="1319" w:type="dxa"/>
            <w:tcBorders>
              <w:top w:val="nil"/>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1</w:t>
            </w:r>
          </w:p>
        </w:tc>
        <w:tc>
          <w:tcPr>
            <w:tcW w:w="2292" w:type="dxa"/>
            <w:tcBorders>
              <w:top w:val="nil"/>
              <w:left w:val="nil"/>
              <w:bottom w:val="nil"/>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0,15</w:t>
            </w:r>
          </w:p>
        </w:tc>
        <w:tc>
          <w:tcPr>
            <w:tcW w:w="2126" w:type="dxa"/>
            <w:tcBorders>
              <w:top w:val="nil"/>
              <w:left w:val="nil"/>
              <w:bottom w:val="nil"/>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0,5</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2</w:t>
            </w:r>
          </w:p>
        </w:tc>
        <w:tc>
          <w:tcPr>
            <w:tcW w:w="2292" w:type="dxa"/>
            <w:tcBorders>
              <w:top w:val="single" w:sz="8" w:space="0" w:color="000000"/>
              <w:left w:val="nil"/>
              <w:bottom w:val="nil"/>
              <w:right w:val="nil"/>
            </w:tcBorders>
            <w:shd w:val="clear" w:color="auto" w:fill="D9D9D9" w:themeFill="background1" w:themeFillShade="D9"/>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0,12</w:t>
            </w:r>
          </w:p>
        </w:tc>
        <w:tc>
          <w:tcPr>
            <w:tcW w:w="2126" w:type="dxa"/>
            <w:tcBorders>
              <w:top w:val="single" w:sz="8" w:space="0" w:color="000000"/>
              <w:left w:val="nil"/>
              <w:bottom w:val="nil"/>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0,4</w:t>
            </w:r>
          </w:p>
        </w:tc>
      </w:tr>
      <w:tr w:rsidR="00D90EA3" w:rsidRPr="00FB0BD8" w:rsidTr="00FB0BD8">
        <w:trPr>
          <w:trHeight w:val="20"/>
          <w:jc w:val="center"/>
        </w:trPr>
        <w:tc>
          <w:tcPr>
            <w:tcW w:w="1319"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3</w:t>
            </w:r>
          </w:p>
        </w:tc>
        <w:tc>
          <w:tcPr>
            <w:tcW w:w="2292" w:type="dxa"/>
            <w:tcBorders>
              <w:top w:val="single" w:sz="8" w:space="0" w:color="000000"/>
              <w:left w:val="nil"/>
              <w:bottom w:val="nil"/>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0,09</w:t>
            </w:r>
          </w:p>
        </w:tc>
        <w:tc>
          <w:tcPr>
            <w:tcW w:w="2126" w:type="dxa"/>
            <w:tcBorders>
              <w:top w:val="single" w:sz="8" w:space="0" w:color="000000"/>
              <w:left w:val="nil"/>
              <w:bottom w:val="nil"/>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0,3</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4</w:t>
            </w:r>
          </w:p>
        </w:tc>
        <w:tc>
          <w:tcPr>
            <w:tcW w:w="2292" w:type="dxa"/>
            <w:tcBorders>
              <w:top w:val="single" w:sz="8" w:space="0" w:color="000000"/>
              <w:left w:val="nil"/>
              <w:bottom w:val="single" w:sz="8" w:space="0" w:color="000000"/>
              <w:right w:val="nil"/>
            </w:tcBorders>
            <w:shd w:val="clear" w:color="auto" w:fill="D9D9D9" w:themeFill="background1" w:themeFillShade="D9"/>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0,06</w:t>
            </w:r>
          </w:p>
        </w:tc>
        <w:tc>
          <w:tcPr>
            <w:tcW w:w="2126"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0,2</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5</w:t>
            </w:r>
          </w:p>
        </w:tc>
        <w:tc>
          <w:tcPr>
            <w:tcW w:w="2292"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w:t>
            </w:r>
          </w:p>
        </w:tc>
        <w:tc>
          <w:tcPr>
            <w:tcW w:w="2126"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w:t>
            </w:r>
          </w:p>
        </w:tc>
      </w:tr>
    </w:tbl>
    <w:p w:rsidR="00800C17" w:rsidRPr="00D90EA3" w:rsidRDefault="00800C17" w:rsidP="00666A05">
      <w:pPr>
        <w:jc w:val="both"/>
        <w:rPr>
          <w:color w:val="262626" w:themeColor="text1" w:themeTint="D9"/>
          <w:lang w:val="es-CO"/>
        </w:rPr>
      </w:pPr>
    </w:p>
    <w:p w:rsidR="006F7C14" w:rsidRDefault="006F7C14" w:rsidP="00666A05">
      <w:pPr>
        <w:jc w:val="both"/>
        <w:rPr>
          <w:color w:val="262626" w:themeColor="text1" w:themeTint="D9"/>
        </w:rPr>
      </w:pPr>
    </w:p>
    <w:p w:rsidR="006F7C14" w:rsidRPr="00950E09" w:rsidRDefault="006F7C14" w:rsidP="00666A05">
      <w:pPr>
        <w:jc w:val="both"/>
        <w:rPr>
          <w:color w:val="262626" w:themeColor="text1" w:themeTint="D9"/>
        </w:rPr>
      </w:pPr>
    </w:p>
    <w:p w:rsidR="00B65CDF" w:rsidRPr="00C028EC" w:rsidRDefault="00B65CDF" w:rsidP="00C028EC">
      <w:pPr>
        <w:pStyle w:val="ListParagraph"/>
        <w:numPr>
          <w:ilvl w:val="0"/>
          <w:numId w:val="10"/>
        </w:numPr>
        <w:jc w:val="both"/>
        <w:rPr>
          <w:b/>
          <w:color w:val="A6A6A6" w:themeColor="background1" w:themeShade="A6"/>
          <w:sz w:val="28"/>
          <w:szCs w:val="28"/>
        </w:rPr>
      </w:pPr>
      <w:r w:rsidRPr="00C028EC">
        <w:rPr>
          <w:b/>
          <w:color w:val="A6A6A6" w:themeColor="background1" w:themeShade="A6"/>
          <w:sz w:val="28"/>
          <w:szCs w:val="28"/>
        </w:rPr>
        <w:t xml:space="preserve">Metodología para asignación de límite de riesgo para entidades orientadas a crédito </w:t>
      </w:r>
      <w:proofErr w:type="spellStart"/>
      <w:r w:rsidRPr="00C028EC">
        <w:rPr>
          <w:b/>
          <w:color w:val="A6A6A6" w:themeColor="background1" w:themeShade="A6"/>
          <w:sz w:val="28"/>
          <w:szCs w:val="28"/>
        </w:rPr>
        <w:t>microempresarial</w:t>
      </w:r>
      <w:proofErr w:type="spellEnd"/>
      <w:r w:rsidR="009F2558" w:rsidRPr="00C028EC">
        <w:rPr>
          <w:b/>
          <w:color w:val="A6A6A6" w:themeColor="background1" w:themeShade="A6"/>
          <w:sz w:val="28"/>
          <w:szCs w:val="28"/>
        </w:rPr>
        <w:t xml:space="preserve"> - EOCM</w:t>
      </w:r>
    </w:p>
    <w:p w:rsidR="003C598A" w:rsidRPr="00D90EA3" w:rsidRDefault="003C598A" w:rsidP="003C598A">
      <w:pPr>
        <w:jc w:val="both"/>
        <w:rPr>
          <w:b/>
          <w:color w:val="A6A6A6" w:themeColor="background1" w:themeShade="A6"/>
          <w:sz w:val="36"/>
          <w:szCs w:val="44"/>
        </w:rPr>
      </w:pPr>
    </w:p>
    <w:p w:rsidR="00C028EC" w:rsidRDefault="00C028EC" w:rsidP="00B65CDF">
      <w:pPr>
        <w:jc w:val="both"/>
        <w:rPr>
          <w:sz w:val="22"/>
          <w:szCs w:val="22"/>
        </w:rPr>
      </w:pPr>
      <w:r>
        <w:rPr>
          <w:sz w:val="22"/>
          <w:szCs w:val="22"/>
        </w:rPr>
        <w:t xml:space="preserve">En </w:t>
      </w:r>
      <w:proofErr w:type="spellStart"/>
      <w:r>
        <w:rPr>
          <w:sz w:val="22"/>
          <w:szCs w:val="22"/>
        </w:rPr>
        <w:t>Bancóldex</w:t>
      </w:r>
      <w:proofErr w:type="spellEnd"/>
      <w:r>
        <w:rPr>
          <w:sz w:val="22"/>
          <w:szCs w:val="22"/>
        </w:rPr>
        <w:t xml:space="preserve"> se denominan Entidades Orientadas a Crédito </w:t>
      </w:r>
      <w:proofErr w:type="spellStart"/>
      <w:r>
        <w:rPr>
          <w:sz w:val="22"/>
          <w:szCs w:val="22"/>
        </w:rPr>
        <w:t>Microempresarial</w:t>
      </w:r>
      <w:proofErr w:type="spellEnd"/>
      <w:r>
        <w:rPr>
          <w:sz w:val="22"/>
          <w:szCs w:val="22"/>
        </w:rPr>
        <w:t xml:space="preserve"> a las cooperativas vigiladas por Superintendencia </w:t>
      </w:r>
      <w:proofErr w:type="spellStart"/>
      <w:r>
        <w:rPr>
          <w:sz w:val="22"/>
          <w:szCs w:val="22"/>
        </w:rPr>
        <w:t>S</w:t>
      </w:r>
      <w:r w:rsidR="00333E10">
        <w:rPr>
          <w:sz w:val="22"/>
          <w:szCs w:val="22"/>
        </w:rPr>
        <w:t>o</w:t>
      </w:r>
      <w:r>
        <w:rPr>
          <w:sz w:val="22"/>
          <w:szCs w:val="22"/>
        </w:rPr>
        <w:t>lidadia</w:t>
      </w:r>
      <w:proofErr w:type="spellEnd"/>
      <w:r>
        <w:rPr>
          <w:sz w:val="22"/>
          <w:szCs w:val="22"/>
        </w:rPr>
        <w:t xml:space="preserve">, las </w:t>
      </w:r>
      <w:proofErr w:type="spellStart"/>
      <w:r>
        <w:rPr>
          <w:sz w:val="22"/>
          <w:szCs w:val="22"/>
        </w:rPr>
        <w:t>ONGs</w:t>
      </w:r>
      <w:proofErr w:type="spellEnd"/>
      <w:r>
        <w:rPr>
          <w:sz w:val="22"/>
          <w:szCs w:val="22"/>
        </w:rPr>
        <w:t xml:space="preserve"> financieras, las fundaciones y otros tipos de entidades que orientes sus operaciones hacia el crédito </w:t>
      </w:r>
      <w:proofErr w:type="spellStart"/>
      <w:r>
        <w:rPr>
          <w:sz w:val="22"/>
          <w:szCs w:val="22"/>
        </w:rPr>
        <w:t>microempresarial</w:t>
      </w:r>
      <w:proofErr w:type="spellEnd"/>
      <w:r>
        <w:rPr>
          <w:sz w:val="22"/>
          <w:szCs w:val="22"/>
        </w:rPr>
        <w:t xml:space="preserve">.  </w:t>
      </w:r>
    </w:p>
    <w:p w:rsidR="00C028EC" w:rsidRDefault="00C028EC" w:rsidP="00B65CDF">
      <w:pPr>
        <w:jc w:val="both"/>
        <w:rPr>
          <w:sz w:val="22"/>
          <w:szCs w:val="22"/>
        </w:rPr>
      </w:pPr>
    </w:p>
    <w:p w:rsidR="009F2558" w:rsidRPr="00D90EA3" w:rsidRDefault="009F2558" w:rsidP="00B65CDF">
      <w:pPr>
        <w:jc w:val="both"/>
        <w:rPr>
          <w:sz w:val="22"/>
          <w:szCs w:val="22"/>
        </w:rPr>
      </w:pPr>
      <w:r w:rsidRPr="00D90EA3">
        <w:rPr>
          <w:sz w:val="22"/>
          <w:szCs w:val="22"/>
        </w:rPr>
        <w:t xml:space="preserve">La metodología </w:t>
      </w:r>
      <w:r w:rsidR="00381408" w:rsidRPr="00D90EA3">
        <w:rPr>
          <w:sz w:val="22"/>
          <w:szCs w:val="22"/>
        </w:rPr>
        <w:t>para</w:t>
      </w:r>
      <w:r w:rsidRPr="00D90EA3">
        <w:rPr>
          <w:sz w:val="22"/>
          <w:szCs w:val="22"/>
        </w:rPr>
        <w:t xml:space="preserve"> </w:t>
      </w:r>
      <w:r w:rsidR="00381408" w:rsidRPr="00D90EA3">
        <w:rPr>
          <w:sz w:val="22"/>
          <w:szCs w:val="22"/>
        </w:rPr>
        <w:t>asignación de límite a una EOCM comprende dos niveles de profundidad</w:t>
      </w:r>
      <w:proofErr w:type="gramStart"/>
      <w:r w:rsidR="00381408" w:rsidRPr="00D90EA3">
        <w:rPr>
          <w:sz w:val="22"/>
          <w:szCs w:val="22"/>
        </w:rPr>
        <w:t>:  el</w:t>
      </w:r>
      <w:proofErr w:type="gramEnd"/>
      <w:r w:rsidR="00381408" w:rsidRPr="00D90EA3">
        <w:rPr>
          <w:sz w:val="22"/>
          <w:szCs w:val="22"/>
        </w:rPr>
        <w:t xml:space="preserve"> global y el exhaustivo</w:t>
      </w:r>
    </w:p>
    <w:p w:rsidR="00381408" w:rsidRPr="00D90EA3" w:rsidRDefault="00381408" w:rsidP="00B65CDF">
      <w:pPr>
        <w:jc w:val="both"/>
        <w:rPr>
          <w:sz w:val="22"/>
          <w:szCs w:val="22"/>
        </w:rPr>
      </w:pPr>
    </w:p>
    <w:p w:rsidR="009F2558" w:rsidRPr="00D90EA3" w:rsidRDefault="00381408" w:rsidP="00B65CDF">
      <w:pPr>
        <w:jc w:val="both"/>
        <w:rPr>
          <w:sz w:val="22"/>
          <w:szCs w:val="22"/>
        </w:rPr>
      </w:pPr>
      <w:r w:rsidRPr="00D90EA3">
        <w:rPr>
          <w:sz w:val="22"/>
          <w:szCs w:val="22"/>
        </w:rPr>
        <w:t xml:space="preserve">La evaluación de riesgo global de las EOCM tiene como fin realizar un seguimiento continuo del nivel de riesgo de </w:t>
      </w:r>
      <w:r w:rsidR="008F6635" w:rsidRPr="00D90EA3">
        <w:rPr>
          <w:sz w:val="22"/>
          <w:szCs w:val="22"/>
        </w:rPr>
        <w:t xml:space="preserve">éstos </w:t>
      </w:r>
      <w:r w:rsidRPr="00D90EA3">
        <w:rPr>
          <w:sz w:val="22"/>
          <w:szCs w:val="22"/>
        </w:rPr>
        <w:t>intermediarios</w:t>
      </w:r>
      <w:r w:rsidR="008F6635" w:rsidRPr="00D90EA3">
        <w:rPr>
          <w:sz w:val="22"/>
          <w:szCs w:val="22"/>
        </w:rPr>
        <w:t xml:space="preserve"> </w:t>
      </w:r>
      <w:r w:rsidR="00CE1C3C">
        <w:rPr>
          <w:sz w:val="22"/>
          <w:szCs w:val="22"/>
        </w:rPr>
        <w:t xml:space="preserve">y se realiza con el monitoreo de indicadores financieros líderes fundamentados en la metodología CAMEL </w:t>
      </w:r>
      <w:r w:rsidR="008F6635" w:rsidRPr="00D90EA3">
        <w:rPr>
          <w:sz w:val="22"/>
          <w:szCs w:val="22"/>
        </w:rPr>
        <w:t xml:space="preserve">y se complementa con una evaluación del sector al que pertenecen las EOCM, con el fin de establecer los riesgos actuales y potenciales que puedan afectar el desempeño de los intermediarios. </w:t>
      </w:r>
      <w:r w:rsidRPr="00D90EA3">
        <w:rPr>
          <w:sz w:val="22"/>
          <w:szCs w:val="22"/>
        </w:rPr>
        <w:t xml:space="preserve"> </w:t>
      </w:r>
    </w:p>
    <w:p w:rsidR="009F2558" w:rsidRPr="00D90EA3" w:rsidRDefault="009F2558" w:rsidP="00B65CDF">
      <w:pPr>
        <w:jc w:val="both"/>
        <w:rPr>
          <w:sz w:val="22"/>
          <w:szCs w:val="22"/>
        </w:rPr>
      </w:pPr>
    </w:p>
    <w:p w:rsidR="00B65CDF" w:rsidRPr="00D90EA3" w:rsidRDefault="00B65CDF" w:rsidP="00B65CDF">
      <w:pPr>
        <w:jc w:val="both"/>
        <w:rPr>
          <w:sz w:val="22"/>
          <w:szCs w:val="22"/>
        </w:rPr>
      </w:pPr>
      <w:r w:rsidRPr="00D90EA3">
        <w:rPr>
          <w:sz w:val="22"/>
          <w:szCs w:val="22"/>
        </w:rPr>
        <w:t>En el análisis financiero exhaustivo se realiza un informe detallado y especializado de la situación financiera de las entidades. En este análisis, además de incluir la evaluación sobre el comportamiento de los principales indicadores financieros</w:t>
      </w:r>
      <w:r w:rsidR="008F6635" w:rsidRPr="00D90EA3">
        <w:rPr>
          <w:sz w:val="22"/>
          <w:szCs w:val="22"/>
        </w:rPr>
        <w:t xml:space="preserve"> relevantes según el esquema CAMEL</w:t>
      </w:r>
      <w:r w:rsidR="002041EF">
        <w:rPr>
          <w:sz w:val="22"/>
          <w:szCs w:val="22"/>
        </w:rPr>
        <w:t xml:space="preserve">, </w:t>
      </w:r>
      <w:r w:rsidR="008F6635" w:rsidRPr="00D90EA3">
        <w:rPr>
          <w:sz w:val="22"/>
          <w:szCs w:val="22"/>
        </w:rPr>
        <w:t xml:space="preserve"> tiene </w:t>
      </w:r>
      <w:r w:rsidRPr="00D90EA3">
        <w:rPr>
          <w:sz w:val="22"/>
          <w:szCs w:val="22"/>
        </w:rPr>
        <w:t xml:space="preserve">en cuenta algunas variables cualitativas como: las políticas de crédito, la gestión de riesgo, la estrategia </w:t>
      </w:r>
      <w:r w:rsidR="00381408" w:rsidRPr="00D90EA3">
        <w:rPr>
          <w:sz w:val="22"/>
          <w:szCs w:val="22"/>
        </w:rPr>
        <w:t xml:space="preserve">comercial, los lineamientos de gobierno corporativo, soporte operativo y de procesos, </w:t>
      </w:r>
      <w:r w:rsidR="0015137E">
        <w:rPr>
          <w:sz w:val="22"/>
          <w:szCs w:val="22"/>
        </w:rPr>
        <w:lastRenderedPageBreak/>
        <w:t>entre otros aspectos</w:t>
      </w:r>
      <w:r w:rsidRPr="00D90EA3">
        <w:rPr>
          <w:sz w:val="22"/>
          <w:szCs w:val="22"/>
        </w:rPr>
        <w:t>.</w:t>
      </w:r>
      <w:r w:rsidR="00A279BE">
        <w:rPr>
          <w:sz w:val="22"/>
          <w:szCs w:val="22"/>
        </w:rPr>
        <w:t xml:space="preserve">  </w:t>
      </w:r>
      <w:r w:rsidR="00A279BE" w:rsidRPr="00D90EA3">
        <w:rPr>
          <w:sz w:val="22"/>
          <w:szCs w:val="22"/>
        </w:rPr>
        <w:t xml:space="preserve">La metodología permite calificar a las entidades en una escala de </w:t>
      </w:r>
      <w:smartTag w:uri="urn:schemas-microsoft-com:office:smarttags" w:element="metricconverter">
        <w:smartTagPr>
          <w:attr w:name="ProductID" w:val="1 a"/>
        </w:smartTagPr>
        <w:r w:rsidR="00A279BE" w:rsidRPr="00D90EA3">
          <w:rPr>
            <w:sz w:val="22"/>
            <w:szCs w:val="22"/>
          </w:rPr>
          <w:t>1 a</w:t>
        </w:r>
      </w:smartTag>
      <w:r w:rsidR="00A279BE" w:rsidRPr="00D90EA3">
        <w:rPr>
          <w:sz w:val="22"/>
          <w:szCs w:val="22"/>
        </w:rPr>
        <w:t xml:space="preserve"> </w:t>
      </w:r>
      <w:r w:rsidR="00A279BE">
        <w:rPr>
          <w:sz w:val="22"/>
          <w:szCs w:val="22"/>
        </w:rPr>
        <w:t>5</w:t>
      </w:r>
      <w:r w:rsidR="00A279BE" w:rsidRPr="00D90EA3">
        <w:rPr>
          <w:sz w:val="22"/>
          <w:szCs w:val="22"/>
        </w:rPr>
        <w:t>, donde 1 es la calificación que refleja menor riesgo</w:t>
      </w:r>
    </w:p>
    <w:p w:rsidR="00B65CDF" w:rsidRPr="00D90EA3" w:rsidRDefault="00B65CDF" w:rsidP="00B65CDF">
      <w:pPr>
        <w:jc w:val="both"/>
        <w:rPr>
          <w:sz w:val="22"/>
          <w:szCs w:val="22"/>
        </w:rPr>
      </w:pPr>
    </w:p>
    <w:p w:rsidR="008F6635" w:rsidRPr="00D90EA3" w:rsidRDefault="008F6635" w:rsidP="008F6635">
      <w:pPr>
        <w:jc w:val="both"/>
        <w:rPr>
          <w:sz w:val="22"/>
          <w:szCs w:val="22"/>
          <w:u w:val="single"/>
        </w:rPr>
      </w:pPr>
      <w:r w:rsidRPr="00D90EA3">
        <w:rPr>
          <w:sz w:val="22"/>
          <w:szCs w:val="22"/>
          <w:u w:val="single"/>
        </w:rPr>
        <w:t>Asignación de límite</w:t>
      </w:r>
    </w:p>
    <w:p w:rsidR="008F6635" w:rsidRPr="00D90EA3" w:rsidRDefault="008F6635" w:rsidP="008F6635">
      <w:pPr>
        <w:jc w:val="both"/>
        <w:rPr>
          <w:sz w:val="22"/>
          <w:szCs w:val="22"/>
          <w:u w:val="single"/>
        </w:rPr>
      </w:pPr>
    </w:p>
    <w:p w:rsidR="00A279BE" w:rsidRDefault="00A279BE" w:rsidP="00A279BE">
      <w:pPr>
        <w:jc w:val="both"/>
        <w:rPr>
          <w:rFonts w:cs="Arial"/>
          <w:sz w:val="22"/>
          <w:szCs w:val="22"/>
        </w:rPr>
      </w:pPr>
      <w:r w:rsidRPr="00D90EA3">
        <w:rPr>
          <w:sz w:val="22"/>
          <w:lang w:val="es-ES"/>
        </w:rPr>
        <w:t>La determinación de los límites globales por intermediario se hace teniendo en cuenta la calificación de riesgo asignada por el Banco. El límite asignado al intermediario resulta de tomar el menor valor de la aplicación de los dos parámetros</w:t>
      </w:r>
      <w:r>
        <w:rPr>
          <w:sz w:val="22"/>
          <w:lang w:val="es-ES"/>
        </w:rPr>
        <w:t xml:space="preserve"> que se describen a continuación:</w:t>
      </w:r>
    </w:p>
    <w:p w:rsidR="00950E09" w:rsidRPr="00950E09" w:rsidRDefault="00950E09" w:rsidP="00950E09">
      <w:pPr>
        <w:jc w:val="both"/>
        <w:rPr>
          <w:rFonts w:cs="Arial"/>
          <w:sz w:val="22"/>
          <w:szCs w:val="22"/>
        </w:rPr>
      </w:pPr>
    </w:p>
    <w:tbl>
      <w:tblPr>
        <w:tblW w:w="5836" w:type="dxa"/>
        <w:jc w:val="center"/>
        <w:tblInd w:w="684" w:type="dxa"/>
        <w:tblCellMar>
          <w:left w:w="0" w:type="dxa"/>
          <w:right w:w="0" w:type="dxa"/>
        </w:tblCellMar>
        <w:tblLook w:val="04A0" w:firstRow="1" w:lastRow="0" w:firstColumn="1" w:lastColumn="0" w:noHBand="0" w:noVBand="1"/>
      </w:tblPr>
      <w:tblGrid>
        <w:gridCol w:w="1556"/>
        <w:gridCol w:w="2200"/>
        <w:gridCol w:w="2080"/>
      </w:tblGrid>
      <w:tr w:rsidR="00950E09" w:rsidRPr="00A279BE" w:rsidTr="00A279BE">
        <w:trPr>
          <w:trHeight w:val="187"/>
          <w:jc w:val="center"/>
        </w:trPr>
        <w:tc>
          <w:tcPr>
            <w:tcW w:w="1556" w:type="dxa"/>
            <w:vMerge w:val="restart"/>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Calificación EOCM</w:t>
            </w:r>
          </w:p>
        </w:tc>
        <w:tc>
          <w:tcPr>
            <w:tcW w:w="4280" w:type="dxa"/>
            <w:gridSpan w:val="2"/>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
                <w:bCs/>
                <w:iCs/>
                <w:sz w:val="18"/>
                <w:szCs w:val="22"/>
              </w:rPr>
              <w:t>Límites frente a:</w:t>
            </w:r>
          </w:p>
        </w:tc>
      </w:tr>
      <w:tr w:rsidR="00950E09" w:rsidRPr="00A279BE" w:rsidTr="00A279BE">
        <w:trPr>
          <w:trHeight w:val="299"/>
          <w:jc w:val="center"/>
        </w:trPr>
        <w:tc>
          <w:tcPr>
            <w:tcW w:w="1556" w:type="dxa"/>
            <w:vMerge/>
            <w:tcBorders>
              <w:top w:val="nil"/>
              <w:left w:val="nil"/>
              <w:bottom w:val="single" w:sz="12" w:space="0" w:color="auto"/>
              <w:right w:val="nil"/>
            </w:tcBorders>
            <w:shd w:val="clear" w:color="auto" w:fill="D9D9D9"/>
            <w:vAlign w:val="center"/>
          </w:tcPr>
          <w:p w:rsidR="00950E09" w:rsidRPr="00A279BE" w:rsidRDefault="00950E09" w:rsidP="0076240B">
            <w:pPr>
              <w:jc w:val="center"/>
              <w:rPr>
                <w:rFonts w:cs="Arial"/>
                <w:iCs/>
                <w:sz w:val="18"/>
                <w:szCs w:val="22"/>
              </w:rPr>
            </w:pPr>
          </w:p>
        </w:tc>
        <w:tc>
          <w:tcPr>
            <w:tcW w:w="2200" w:type="dxa"/>
            <w:tcBorders>
              <w:top w:val="nil"/>
              <w:left w:val="nil"/>
              <w:bottom w:val="single" w:sz="12" w:space="0" w:color="auto"/>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 xml:space="preserve">Capital + reserva legal de </w:t>
            </w:r>
            <w:proofErr w:type="spellStart"/>
            <w:r w:rsidRPr="00A279BE">
              <w:rPr>
                <w:rFonts w:cs="Arial"/>
                <w:b/>
                <w:bCs/>
                <w:iCs/>
                <w:sz w:val="18"/>
                <w:szCs w:val="22"/>
              </w:rPr>
              <w:t>Bancóldex</w:t>
            </w:r>
            <w:proofErr w:type="spellEnd"/>
          </w:p>
        </w:tc>
        <w:tc>
          <w:tcPr>
            <w:tcW w:w="2080" w:type="dxa"/>
            <w:tcBorders>
              <w:top w:val="nil"/>
              <w:left w:val="nil"/>
              <w:bottom w:val="single" w:sz="12" w:space="0" w:color="auto"/>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Patrimonio estable entidad</w:t>
            </w:r>
            <w:r w:rsidRPr="00A279BE">
              <w:rPr>
                <w:rStyle w:val="FootnoteReference"/>
                <w:rFonts w:cs="Arial"/>
                <w:b/>
                <w:bCs/>
                <w:iCs/>
                <w:sz w:val="18"/>
                <w:szCs w:val="22"/>
              </w:rPr>
              <w:footnoteReference w:id="2"/>
            </w:r>
          </w:p>
        </w:tc>
      </w:tr>
      <w:tr w:rsidR="00950E09" w:rsidRPr="00A279BE" w:rsidTr="00A279BE">
        <w:trPr>
          <w:trHeight w:val="264"/>
          <w:jc w:val="center"/>
        </w:trPr>
        <w:tc>
          <w:tcPr>
            <w:tcW w:w="1556" w:type="dxa"/>
            <w:tcBorders>
              <w:top w:val="single" w:sz="12" w:space="0" w:color="auto"/>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w:t>
            </w:r>
          </w:p>
        </w:tc>
        <w:tc>
          <w:tcPr>
            <w:tcW w:w="2200" w:type="dxa"/>
            <w:tcBorders>
              <w:top w:val="single" w:sz="12" w:space="0" w:color="auto"/>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12,0%</w:t>
            </w:r>
          </w:p>
        </w:tc>
        <w:tc>
          <w:tcPr>
            <w:tcW w:w="2080" w:type="dxa"/>
            <w:tcBorders>
              <w:top w:val="single" w:sz="12" w:space="0" w:color="auto"/>
              <w:left w:val="nil"/>
              <w:bottom w:val="nil"/>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300%</w:t>
            </w:r>
          </w:p>
        </w:tc>
      </w:tr>
      <w:tr w:rsidR="00950E09" w:rsidRPr="00A279BE" w:rsidTr="00A279BE">
        <w:trPr>
          <w:trHeight w:val="264"/>
          <w:jc w:val="center"/>
        </w:trPr>
        <w:tc>
          <w:tcPr>
            <w:tcW w:w="1556"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2</w:t>
            </w:r>
          </w:p>
        </w:tc>
        <w:tc>
          <w:tcPr>
            <w:tcW w:w="2200"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10,0%</w:t>
            </w:r>
          </w:p>
        </w:tc>
        <w:tc>
          <w:tcPr>
            <w:tcW w:w="2080" w:type="dxa"/>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250%</w:t>
            </w:r>
          </w:p>
        </w:tc>
      </w:tr>
      <w:tr w:rsidR="00950E09" w:rsidRPr="00A279BE" w:rsidTr="00A279BE">
        <w:trPr>
          <w:trHeight w:val="264"/>
          <w:jc w:val="center"/>
        </w:trPr>
        <w:tc>
          <w:tcPr>
            <w:tcW w:w="1556" w:type="dxa"/>
            <w:tcBorders>
              <w:top w:val="nil"/>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3</w:t>
            </w:r>
          </w:p>
        </w:tc>
        <w:tc>
          <w:tcPr>
            <w:tcW w:w="2200" w:type="dxa"/>
            <w:tcBorders>
              <w:top w:val="nil"/>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7,0%</w:t>
            </w:r>
          </w:p>
        </w:tc>
        <w:tc>
          <w:tcPr>
            <w:tcW w:w="2080" w:type="dxa"/>
            <w:tcBorders>
              <w:top w:val="nil"/>
              <w:left w:val="nil"/>
              <w:bottom w:val="nil"/>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200%</w:t>
            </w:r>
          </w:p>
        </w:tc>
      </w:tr>
      <w:tr w:rsidR="00950E09" w:rsidRPr="00A279BE" w:rsidTr="00A279BE">
        <w:trPr>
          <w:trHeight w:val="264"/>
          <w:jc w:val="center"/>
        </w:trPr>
        <w:tc>
          <w:tcPr>
            <w:tcW w:w="1556"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4</w:t>
            </w:r>
          </w:p>
        </w:tc>
        <w:tc>
          <w:tcPr>
            <w:tcW w:w="2200"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3,5%</w:t>
            </w:r>
          </w:p>
        </w:tc>
        <w:tc>
          <w:tcPr>
            <w:tcW w:w="2080" w:type="dxa"/>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100%</w:t>
            </w:r>
          </w:p>
        </w:tc>
      </w:tr>
      <w:tr w:rsidR="00950E09" w:rsidRPr="00A279BE" w:rsidTr="00A279BE">
        <w:trPr>
          <w:trHeight w:val="264"/>
          <w:jc w:val="center"/>
        </w:trPr>
        <w:tc>
          <w:tcPr>
            <w:tcW w:w="1556" w:type="dxa"/>
            <w:tcBorders>
              <w:top w:val="nil"/>
              <w:left w:val="nil"/>
              <w:bottom w:val="single" w:sz="4" w:space="0" w:color="000000"/>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5</w:t>
            </w:r>
          </w:p>
        </w:tc>
        <w:tc>
          <w:tcPr>
            <w:tcW w:w="2200" w:type="dxa"/>
            <w:tcBorders>
              <w:top w:val="nil"/>
              <w:left w:val="nil"/>
              <w:bottom w:val="single" w:sz="8" w:space="0" w:color="000000"/>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0%</w:t>
            </w:r>
          </w:p>
        </w:tc>
        <w:tc>
          <w:tcPr>
            <w:tcW w:w="2080" w:type="dxa"/>
            <w:tcBorders>
              <w:top w:val="nil"/>
              <w:left w:val="nil"/>
              <w:bottom w:val="single" w:sz="8" w:space="0" w:color="000000"/>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0%</w:t>
            </w:r>
          </w:p>
        </w:tc>
      </w:tr>
    </w:tbl>
    <w:p w:rsidR="00950E09" w:rsidRDefault="00950E09" w:rsidP="00950E09">
      <w:pPr>
        <w:jc w:val="both"/>
        <w:rPr>
          <w:rFonts w:cs="Arial"/>
          <w:sz w:val="22"/>
          <w:szCs w:val="22"/>
        </w:rPr>
      </w:pPr>
    </w:p>
    <w:p w:rsidR="00CE1F3B" w:rsidRDefault="00CE1F3B" w:rsidP="00950E09">
      <w:pPr>
        <w:jc w:val="both"/>
        <w:rPr>
          <w:rFonts w:cs="Arial"/>
          <w:sz w:val="22"/>
          <w:szCs w:val="22"/>
        </w:rPr>
      </w:pPr>
    </w:p>
    <w:p w:rsidR="00CE1F3B" w:rsidRDefault="00CE1F3B" w:rsidP="00950E09">
      <w:pPr>
        <w:jc w:val="both"/>
        <w:rPr>
          <w:rFonts w:cs="Arial"/>
          <w:sz w:val="22"/>
          <w:szCs w:val="22"/>
        </w:rPr>
      </w:pPr>
    </w:p>
    <w:p w:rsidR="00CE1F3B" w:rsidRDefault="00CE1F3B" w:rsidP="00950E09">
      <w:pPr>
        <w:jc w:val="both"/>
        <w:rPr>
          <w:rFonts w:cs="Arial"/>
          <w:sz w:val="22"/>
          <w:szCs w:val="22"/>
        </w:rPr>
      </w:pPr>
    </w:p>
    <w:p w:rsidR="00CE1F3B" w:rsidRPr="00950E09" w:rsidRDefault="00CE1F3B" w:rsidP="00950E09">
      <w:pPr>
        <w:jc w:val="both"/>
        <w:rPr>
          <w:rFonts w:cs="Arial"/>
          <w:sz w:val="22"/>
          <w:szCs w:val="22"/>
        </w:rPr>
      </w:pPr>
    </w:p>
    <w:p w:rsidR="00A279BE" w:rsidRDefault="00A279BE" w:rsidP="00950E09">
      <w:pPr>
        <w:jc w:val="both"/>
        <w:rPr>
          <w:color w:val="262626" w:themeColor="text1" w:themeTint="D9"/>
        </w:rPr>
      </w:pPr>
    </w:p>
    <w:p w:rsidR="000077C1" w:rsidRDefault="000077C1" w:rsidP="00950E09">
      <w:pPr>
        <w:jc w:val="both"/>
        <w:rPr>
          <w:color w:val="262626" w:themeColor="text1" w:themeTint="D9"/>
        </w:rPr>
      </w:pPr>
    </w:p>
    <w:sectPr w:rsidR="000077C1" w:rsidSect="00800C17">
      <w:headerReference w:type="default" r:id="rId9"/>
      <w:pgSz w:w="12240" w:h="15840" w:code="1"/>
      <w:pgMar w:top="2663" w:right="1701" w:bottom="1418" w:left="1701"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B0" w:rsidRDefault="003216B0" w:rsidP="00666A05">
      <w:r>
        <w:separator/>
      </w:r>
    </w:p>
  </w:endnote>
  <w:endnote w:type="continuationSeparator" w:id="0">
    <w:p w:rsidR="003216B0" w:rsidRDefault="003216B0" w:rsidP="006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B0" w:rsidRDefault="003216B0" w:rsidP="00666A05">
      <w:r>
        <w:separator/>
      </w:r>
    </w:p>
  </w:footnote>
  <w:footnote w:type="continuationSeparator" w:id="0">
    <w:p w:rsidR="003216B0" w:rsidRDefault="003216B0" w:rsidP="00666A05">
      <w:r>
        <w:continuationSeparator/>
      </w:r>
    </w:p>
  </w:footnote>
  <w:footnote w:id="1">
    <w:p w:rsidR="003C598A" w:rsidRPr="008B4944" w:rsidRDefault="003C598A" w:rsidP="003C598A">
      <w:pPr>
        <w:pStyle w:val="FootnoteText"/>
        <w:jc w:val="both"/>
        <w:rPr>
          <w:rFonts w:ascii="Futura Lt BT" w:hAnsi="Futura Lt BT"/>
          <w:sz w:val="16"/>
          <w:szCs w:val="16"/>
        </w:rPr>
      </w:pPr>
      <w:r>
        <w:rPr>
          <w:rStyle w:val="FootnoteReference"/>
        </w:rPr>
        <w:footnoteRef/>
      </w:r>
      <w:r>
        <w:t xml:space="preserve"> </w:t>
      </w:r>
      <w:r w:rsidRPr="008B4944">
        <w:rPr>
          <w:rFonts w:ascii="Futura Lt BT" w:hAnsi="Futura Lt BT"/>
          <w:sz w:val="16"/>
          <w:szCs w:val="16"/>
        </w:rPr>
        <w:t xml:space="preserve">Hasta la entrada en vigencia de </w:t>
      </w:r>
      <w:smartTag w:uri="urn:schemas-microsoft-com:office:smarttags" w:element="PersonName">
        <w:smartTagPr>
          <w:attr w:name="ProductID" w:val="la Reforma Financiera"/>
        </w:smartTagPr>
        <w:r w:rsidRPr="008B4944">
          <w:rPr>
            <w:rFonts w:ascii="Futura Lt BT" w:hAnsi="Futura Lt BT"/>
            <w:sz w:val="16"/>
            <w:szCs w:val="16"/>
          </w:rPr>
          <w:t>la Reforma Financiera</w:t>
        </w:r>
      </w:smartTag>
      <w:r w:rsidRPr="008B4944">
        <w:rPr>
          <w:rFonts w:ascii="Futura Lt BT" w:hAnsi="Futura Lt BT"/>
          <w:sz w:val="16"/>
          <w:szCs w:val="16"/>
        </w:rPr>
        <w:t xml:space="preserve"> de 2009 se denominaban Compañías de Financiamiento Comercial.</w:t>
      </w:r>
    </w:p>
    <w:p w:rsidR="003C598A" w:rsidRDefault="003C598A" w:rsidP="003C598A">
      <w:pPr>
        <w:pStyle w:val="FootnoteText"/>
      </w:pPr>
    </w:p>
  </w:footnote>
  <w:footnote w:id="2">
    <w:p w:rsidR="00950E09" w:rsidRDefault="00950E09" w:rsidP="00950E09">
      <w:pPr>
        <w:pStyle w:val="FootnoteText"/>
        <w:jc w:val="both"/>
      </w:pPr>
      <w:r>
        <w:rPr>
          <w:rStyle w:val="FootnoteReference"/>
        </w:rPr>
        <w:footnoteRef/>
      </w:r>
      <w:r>
        <w:t xml:space="preserve"> </w:t>
      </w:r>
      <w:r w:rsidRPr="008F3F23">
        <w:rPr>
          <w:rFonts w:ascii="Futura Lt BT" w:hAnsi="Futura Lt BT"/>
          <w:sz w:val="16"/>
          <w:szCs w:val="16"/>
        </w:rPr>
        <w:t>Patrimonio estable:   fundaciones, ONG y otras:  patrimonio - utilidades del ejercicio-valorizaciones;  cooperativas, fondos de empleados y asociaciones mutuales:  aportes sociales + reservas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5B" w:rsidRDefault="005B4B4C">
    <w:pPr>
      <w:pStyle w:val="Header"/>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44.4pt;width:617.95pt;height:203.3pt;z-index:-251658752;mso-wrap-edited:f;mso-position-horizontal-relative:margin;mso-position-vertical-relative:margin" wrapcoords="-26 0 -26 21559 21600 21559 21600 0 -26 0">
          <v:imagedata r:id="rId1" o:title="BANCOLDEX_MEMBRETE_POLICROMIA-1" cropbottom="49475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F00"/>
    <w:multiLevelType w:val="hybridMultilevel"/>
    <w:tmpl w:val="A810FC20"/>
    <w:lvl w:ilvl="0" w:tplc="A1C6BA90">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043B9"/>
    <w:multiLevelType w:val="hybridMultilevel"/>
    <w:tmpl w:val="8FFC4D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CE83326"/>
    <w:multiLevelType w:val="hybridMultilevel"/>
    <w:tmpl w:val="8B02587C"/>
    <w:lvl w:ilvl="0" w:tplc="003676F8">
      <w:numFmt w:val="bullet"/>
      <w:lvlText w:val="-"/>
      <w:lvlJc w:val="left"/>
      <w:pPr>
        <w:ind w:left="360" w:hanging="360"/>
      </w:pPr>
      <w:rPr>
        <w:rFonts w:ascii="Calibri" w:eastAsia="MS Mincho" w:hAnsi="Calibr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523003F"/>
    <w:multiLevelType w:val="hybridMultilevel"/>
    <w:tmpl w:val="86CE05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BE012BC"/>
    <w:multiLevelType w:val="hybridMultilevel"/>
    <w:tmpl w:val="EDFEBD96"/>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2202ED3"/>
    <w:multiLevelType w:val="hybridMultilevel"/>
    <w:tmpl w:val="01EC1E96"/>
    <w:lvl w:ilvl="0" w:tplc="DE44749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115D7"/>
    <w:multiLevelType w:val="hybridMultilevel"/>
    <w:tmpl w:val="102821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81E732B"/>
    <w:multiLevelType w:val="hybridMultilevel"/>
    <w:tmpl w:val="5F34C922"/>
    <w:lvl w:ilvl="0" w:tplc="9EB2811A">
      <w:start w:val="43"/>
      <w:numFmt w:val="bullet"/>
      <w:lvlText w:val="-"/>
      <w:lvlJc w:val="left"/>
      <w:pPr>
        <w:ind w:left="360" w:hanging="360"/>
      </w:pPr>
      <w:rPr>
        <w:rFonts w:ascii="Calibri" w:eastAsia="MS Mincho"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7BE728F0"/>
    <w:multiLevelType w:val="hybridMultilevel"/>
    <w:tmpl w:val="6798CE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CA17499"/>
    <w:multiLevelType w:val="hybridMultilevel"/>
    <w:tmpl w:val="2AFE9E9A"/>
    <w:lvl w:ilvl="0" w:tplc="240A0001">
      <w:start w:val="1"/>
      <w:numFmt w:val="bullet"/>
      <w:lvlText w:val=""/>
      <w:lvlJc w:val="left"/>
      <w:pPr>
        <w:ind w:left="0" w:hanging="360"/>
      </w:pPr>
      <w:rPr>
        <w:rFonts w:ascii="Symbol" w:hAnsi="Symbol" w:hint="default"/>
      </w:rPr>
    </w:lvl>
    <w:lvl w:ilvl="1" w:tplc="240A0003">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0">
    <w:nsid w:val="7FF8215D"/>
    <w:multiLevelType w:val="hybridMultilevel"/>
    <w:tmpl w:val="2F8A1AD0"/>
    <w:lvl w:ilvl="0" w:tplc="81D8C8C2">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05"/>
    <w:rsid w:val="0000148C"/>
    <w:rsid w:val="0000241A"/>
    <w:rsid w:val="00005986"/>
    <w:rsid w:val="0000701D"/>
    <w:rsid w:val="000077C1"/>
    <w:rsid w:val="00007F0E"/>
    <w:rsid w:val="000167AD"/>
    <w:rsid w:val="00020965"/>
    <w:rsid w:val="000229BE"/>
    <w:rsid w:val="00024C3E"/>
    <w:rsid w:val="00027A82"/>
    <w:rsid w:val="00031823"/>
    <w:rsid w:val="00033AFB"/>
    <w:rsid w:val="00036583"/>
    <w:rsid w:val="00037931"/>
    <w:rsid w:val="00040065"/>
    <w:rsid w:val="000440F1"/>
    <w:rsid w:val="00045D18"/>
    <w:rsid w:val="000507B0"/>
    <w:rsid w:val="00052414"/>
    <w:rsid w:val="000529D7"/>
    <w:rsid w:val="00055101"/>
    <w:rsid w:val="00055AEB"/>
    <w:rsid w:val="00067B09"/>
    <w:rsid w:val="000704EA"/>
    <w:rsid w:val="000772D6"/>
    <w:rsid w:val="000779F0"/>
    <w:rsid w:val="000823AB"/>
    <w:rsid w:val="00084A9C"/>
    <w:rsid w:val="00090F81"/>
    <w:rsid w:val="0009218C"/>
    <w:rsid w:val="000926D7"/>
    <w:rsid w:val="00093CFD"/>
    <w:rsid w:val="00096424"/>
    <w:rsid w:val="00096896"/>
    <w:rsid w:val="000A4B55"/>
    <w:rsid w:val="000B5C40"/>
    <w:rsid w:val="000C545F"/>
    <w:rsid w:val="000C61AC"/>
    <w:rsid w:val="000C6F29"/>
    <w:rsid w:val="000D0030"/>
    <w:rsid w:val="000D59F1"/>
    <w:rsid w:val="000D62EB"/>
    <w:rsid w:val="000E0D70"/>
    <w:rsid w:val="000E4E60"/>
    <w:rsid w:val="000E676A"/>
    <w:rsid w:val="000E67DC"/>
    <w:rsid w:val="000F2D52"/>
    <w:rsid w:val="000F4DEC"/>
    <w:rsid w:val="000F7DF2"/>
    <w:rsid w:val="001026D7"/>
    <w:rsid w:val="00102BC0"/>
    <w:rsid w:val="00113058"/>
    <w:rsid w:val="001132A3"/>
    <w:rsid w:val="00113DEE"/>
    <w:rsid w:val="00124A8B"/>
    <w:rsid w:val="0013472C"/>
    <w:rsid w:val="001350BC"/>
    <w:rsid w:val="0013677E"/>
    <w:rsid w:val="00137C32"/>
    <w:rsid w:val="001505DA"/>
    <w:rsid w:val="0015137E"/>
    <w:rsid w:val="00162C62"/>
    <w:rsid w:val="001654EF"/>
    <w:rsid w:val="001728D6"/>
    <w:rsid w:val="001774D0"/>
    <w:rsid w:val="00187163"/>
    <w:rsid w:val="00192A3B"/>
    <w:rsid w:val="001932F5"/>
    <w:rsid w:val="001938D0"/>
    <w:rsid w:val="00195819"/>
    <w:rsid w:val="0019714E"/>
    <w:rsid w:val="001B4069"/>
    <w:rsid w:val="001B5976"/>
    <w:rsid w:val="001C0DC7"/>
    <w:rsid w:val="001C154B"/>
    <w:rsid w:val="001C2357"/>
    <w:rsid w:val="001C4A53"/>
    <w:rsid w:val="001C6FA1"/>
    <w:rsid w:val="001D4A6F"/>
    <w:rsid w:val="001E6FAF"/>
    <w:rsid w:val="001F22FC"/>
    <w:rsid w:val="001F2639"/>
    <w:rsid w:val="001F342E"/>
    <w:rsid w:val="001F3601"/>
    <w:rsid w:val="001F556A"/>
    <w:rsid w:val="002041EF"/>
    <w:rsid w:val="00204E28"/>
    <w:rsid w:val="002107B2"/>
    <w:rsid w:val="002210A0"/>
    <w:rsid w:val="00224155"/>
    <w:rsid w:val="00225AF9"/>
    <w:rsid w:val="002268EE"/>
    <w:rsid w:val="00231E79"/>
    <w:rsid w:val="002330E8"/>
    <w:rsid w:val="00237A7F"/>
    <w:rsid w:val="00244F6F"/>
    <w:rsid w:val="002528D8"/>
    <w:rsid w:val="00252DB1"/>
    <w:rsid w:val="00253186"/>
    <w:rsid w:val="00253620"/>
    <w:rsid w:val="00255699"/>
    <w:rsid w:val="002659D4"/>
    <w:rsid w:val="00272F33"/>
    <w:rsid w:val="00282545"/>
    <w:rsid w:val="00286913"/>
    <w:rsid w:val="002977F2"/>
    <w:rsid w:val="002A19BB"/>
    <w:rsid w:val="002A6789"/>
    <w:rsid w:val="002A6C8D"/>
    <w:rsid w:val="002A726D"/>
    <w:rsid w:val="002B251C"/>
    <w:rsid w:val="002B3A0C"/>
    <w:rsid w:val="002B3A22"/>
    <w:rsid w:val="002C045C"/>
    <w:rsid w:val="002C15FD"/>
    <w:rsid w:val="002C6B02"/>
    <w:rsid w:val="002D1E4C"/>
    <w:rsid w:val="002D4316"/>
    <w:rsid w:val="002E0A39"/>
    <w:rsid w:val="002E7252"/>
    <w:rsid w:val="002E7611"/>
    <w:rsid w:val="002F4E9C"/>
    <w:rsid w:val="002F5F94"/>
    <w:rsid w:val="00303D61"/>
    <w:rsid w:val="0030700C"/>
    <w:rsid w:val="003073C8"/>
    <w:rsid w:val="00312CA6"/>
    <w:rsid w:val="003179FC"/>
    <w:rsid w:val="00317C4E"/>
    <w:rsid w:val="003216B0"/>
    <w:rsid w:val="003221DA"/>
    <w:rsid w:val="00322AFD"/>
    <w:rsid w:val="00324D39"/>
    <w:rsid w:val="00326009"/>
    <w:rsid w:val="0033089B"/>
    <w:rsid w:val="003329FB"/>
    <w:rsid w:val="0033344D"/>
    <w:rsid w:val="00333E10"/>
    <w:rsid w:val="00342064"/>
    <w:rsid w:val="00342918"/>
    <w:rsid w:val="00346B85"/>
    <w:rsid w:val="00347ABD"/>
    <w:rsid w:val="003509C8"/>
    <w:rsid w:val="00350C2E"/>
    <w:rsid w:val="00352018"/>
    <w:rsid w:val="00356C1F"/>
    <w:rsid w:val="0035703C"/>
    <w:rsid w:val="003621C9"/>
    <w:rsid w:val="003646D3"/>
    <w:rsid w:val="003653ED"/>
    <w:rsid w:val="003671A6"/>
    <w:rsid w:val="00372549"/>
    <w:rsid w:val="0037295E"/>
    <w:rsid w:val="003735A4"/>
    <w:rsid w:val="00374F16"/>
    <w:rsid w:val="00381408"/>
    <w:rsid w:val="003836D9"/>
    <w:rsid w:val="00393083"/>
    <w:rsid w:val="0039329B"/>
    <w:rsid w:val="003A1651"/>
    <w:rsid w:val="003A7C3B"/>
    <w:rsid w:val="003B365C"/>
    <w:rsid w:val="003B651C"/>
    <w:rsid w:val="003C0C35"/>
    <w:rsid w:val="003C598A"/>
    <w:rsid w:val="003C5F8F"/>
    <w:rsid w:val="003C60C4"/>
    <w:rsid w:val="003D1DAA"/>
    <w:rsid w:val="003D1F9D"/>
    <w:rsid w:val="003E0E16"/>
    <w:rsid w:val="003E239D"/>
    <w:rsid w:val="003F0C61"/>
    <w:rsid w:val="003F25C6"/>
    <w:rsid w:val="00405CC7"/>
    <w:rsid w:val="004105A9"/>
    <w:rsid w:val="00413815"/>
    <w:rsid w:val="004153C8"/>
    <w:rsid w:val="00415F07"/>
    <w:rsid w:val="00416AC7"/>
    <w:rsid w:val="0042314B"/>
    <w:rsid w:val="00423213"/>
    <w:rsid w:val="00433100"/>
    <w:rsid w:val="004402A2"/>
    <w:rsid w:val="00442C90"/>
    <w:rsid w:val="00442F23"/>
    <w:rsid w:val="004444D3"/>
    <w:rsid w:val="00451EBD"/>
    <w:rsid w:val="0045283C"/>
    <w:rsid w:val="00454164"/>
    <w:rsid w:val="0045481B"/>
    <w:rsid w:val="0045726D"/>
    <w:rsid w:val="004612D5"/>
    <w:rsid w:val="00461B0C"/>
    <w:rsid w:val="004632D6"/>
    <w:rsid w:val="00465648"/>
    <w:rsid w:val="00465AAE"/>
    <w:rsid w:val="00467236"/>
    <w:rsid w:val="00470A4D"/>
    <w:rsid w:val="0047264A"/>
    <w:rsid w:val="004848E1"/>
    <w:rsid w:val="00485B56"/>
    <w:rsid w:val="0048671A"/>
    <w:rsid w:val="004959B4"/>
    <w:rsid w:val="004A597F"/>
    <w:rsid w:val="004B41EC"/>
    <w:rsid w:val="004C23F1"/>
    <w:rsid w:val="004C2C48"/>
    <w:rsid w:val="004C4379"/>
    <w:rsid w:val="004C530E"/>
    <w:rsid w:val="004C6FF7"/>
    <w:rsid w:val="004D3BC3"/>
    <w:rsid w:val="004E1AFD"/>
    <w:rsid w:val="004E54A1"/>
    <w:rsid w:val="004F1492"/>
    <w:rsid w:val="004F47E9"/>
    <w:rsid w:val="00502FF1"/>
    <w:rsid w:val="00505872"/>
    <w:rsid w:val="005173AF"/>
    <w:rsid w:val="0053724B"/>
    <w:rsid w:val="00544DEE"/>
    <w:rsid w:val="00546530"/>
    <w:rsid w:val="00547B4D"/>
    <w:rsid w:val="00551B0D"/>
    <w:rsid w:val="0056417C"/>
    <w:rsid w:val="0056532E"/>
    <w:rsid w:val="00565460"/>
    <w:rsid w:val="005703BE"/>
    <w:rsid w:val="005704A3"/>
    <w:rsid w:val="0057204D"/>
    <w:rsid w:val="00572CC6"/>
    <w:rsid w:val="00573262"/>
    <w:rsid w:val="005762DD"/>
    <w:rsid w:val="005776CE"/>
    <w:rsid w:val="0058466F"/>
    <w:rsid w:val="00591C2C"/>
    <w:rsid w:val="00594B1A"/>
    <w:rsid w:val="00595F91"/>
    <w:rsid w:val="005A454B"/>
    <w:rsid w:val="005A612F"/>
    <w:rsid w:val="005B4B4C"/>
    <w:rsid w:val="005C2BF4"/>
    <w:rsid w:val="005C2D89"/>
    <w:rsid w:val="005C4482"/>
    <w:rsid w:val="005D21C9"/>
    <w:rsid w:val="005E3432"/>
    <w:rsid w:val="005E4B76"/>
    <w:rsid w:val="005E6CFA"/>
    <w:rsid w:val="005F2B32"/>
    <w:rsid w:val="00610604"/>
    <w:rsid w:val="00620C42"/>
    <w:rsid w:val="00620F74"/>
    <w:rsid w:val="0062271B"/>
    <w:rsid w:val="00623F83"/>
    <w:rsid w:val="006250FE"/>
    <w:rsid w:val="00625660"/>
    <w:rsid w:val="00630B50"/>
    <w:rsid w:val="00630D1D"/>
    <w:rsid w:val="006336C9"/>
    <w:rsid w:val="006340A7"/>
    <w:rsid w:val="006361CA"/>
    <w:rsid w:val="006501AB"/>
    <w:rsid w:val="0065235B"/>
    <w:rsid w:val="00653976"/>
    <w:rsid w:val="00656822"/>
    <w:rsid w:val="006577E2"/>
    <w:rsid w:val="00662130"/>
    <w:rsid w:val="00662E21"/>
    <w:rsid w:val="00662FFE"/>
    <w:rsid w:val="006640FB"/>
    <w:rsid w:val="00666A05"/>
    <w:rsid w:val="0066745A"/>
    <w:rsid w:val="006763BF"/>
    <w:rsid w:val="00692160"/>
    <w:rsid w:val="006928ED"/>
    <w:rsid w:val="006969A9"/>
    <w:rsid w:val="006A00F8"/>
    <w:rsid w:val="006A0D6E"/>
    <w:rsid w:val="006A11CE"/>
    <w:rsid w:val="006A1E04"/>
    <w:rsid w:val="006A38AA"/>
    <w:rsid w:val="006B34CC"/>
    <w:rsid w:val="006C1CEA"/>
    <w:rsid w:val="006C2AFE"/>
    <w:rsid w:val="006C5FA9"/>
    <w:rsid w:val="006D112E"/>
    <w:rsid w:val="006D1A86"/>
    <w:rsid w:val="006D3C54"/>
    <w:rsid w:val="006D4754"/>
    <w:rsid w:val="006D5823"/>
    <w:rsid w:val="006D7796"/>
    <w:rsid w:val="006E22F9"/>
    <w:rsid w:val="006E4036"/>
    <w:rsid w:val="006E55F0"/>
    <w:rsid w:val="006F563F"/>
    <w:rsid w:val="006F7C14"/>
    <w:rsid w:val="007005DD"/>
    <w:rsid w:val="007024CB"/>
    <w:rsid w:val="00703FEA"/>
    <w:rsid w:val="007047C3"/>
    <w:rsid w:val="00706FAD"/>
    <w:rsid w:val="00714D4D"/>
    <w:rsid w:val="007150F3"/>
    <w:rsid w:val="00720B31"/>
    <w:rsid w:val="00725396"/>
    <w:rsid w:val="007307A0"/>
    <w:rsid w:val="007339D0"/>
    <w:rsid w:val="00736599"/>
    <w:rsid w:val="00742BC4"/>
    <w:rsid w:val="00746254"/>
    <w:rsid w:val="007527CA"/>
    <w:rsid w:val="0075369A"/>
    <w:rsid w:val="00754CA6"/>
    <w:rsid w:val="0075536C"/>
    <w:rsid w:val="00761821"/>
    <w:rsid w:val="0076236E"/>
    <w:rsid w:val="0076332C"/>
    <w:rsid w:val="00765B6E"/>
    <w:rsid w:val="007662CC"/>
    <w:rsid w:val="0076747E"/>
    <w:rsid w:val="0077154F"/>
    <w:rsid w:val="0077713B"/>
    <w:rsid w:val="00777696"/>
    <w:rsid w:val="0077792C"/>
    <w:rsid w:val="00777C4A"/>
    <w:rsid w:val="00781BF2"/>
    <w:rsid w:val="00782598"/>
    <w:rsid w:val="00794639"/>
    <w:rsid w:val="007946BF"/>
    <w:rsid w:val="007A05D5"/>
    <w:rsid w:val="007A1B8D"/>
    <w:rsid w:val="007A72FC"/>
    <w:rsid w:val="007B183D"/>
    <w:rsid w:val="007B3F4A"/>
    <w:rsid w:val="007B5201"/>
    <w:rsid w:val="007B59CA"/>
    <w:rsid w:val="007C029C"/>
    <w:rsid w:val="007C2D95"/>
    <w:rsid w:val="007D093D"/>
    <w:rsid w:val="007D2A30"/>
    <w:rsid w:val="007D2CA5"/>
    <w:rsid w:val="007E044F"/>
    <w:rsid w:val="007F08A1"/>
    <w:rsid w:val="007F1816"/>
    <w:rsid w:val="007F2E7A"/>
    <w:rsid w:val="007F3486"/>
    <w:rsid w:val="00800C17"/>
    <w:rsid w:val="0080447C"/>
    <w:rsid w:val="00804DB4"/>
    <w:rsid w:val="00804EBB"/>
    <w:rsid w:val="00805D43"/>
    <w:rsid w:val="00806142"/>
    <w:rsid w:val="00807D6C"/>
    <w:rsid w:val="00807EC8"/>
    <w:rsid w:val="008102C6"/>
    <w:rsid w:val="00822296"/>
    <w:rsid w:val="008233C6"/>
    <w:rsid w:val="008314AA"/>
    <w:rsid w:val="00834B33"/>
    <w:rsid w:val="00834C57"/>
    <w:rsid w:val="00836878"/>
    <w:rsid w:val="008441EB"/>
    <w:rsid w:val="00844B49"/>
    <w:rsid w:val="00846619"/>
    <w:rsid w:val="00847912"/>
    <w:rsid w:val="00847D35"/>
    <w:rsid w:val="00851395"/>
    <w:rsid w:val="008553D9"/>
    <w:rsid w:val="00862C06"/>
    <w:rsid w:val="0087007D"/>
    <w:rsid w:val="00873F40"/>
    <w:rsid w:val="008772EE"/>
    <w:rsid w:val="00877D89"/>
    <w:rsid w:val="00885BD1"/>
    <w:rsid w:val="008871E3"/>
    <w:rsid w:val="0089468E"/>
    <w:rsid w:val="00897307"/>
    <w:rsid w:val="008A14F3"/>
    <w:rsid w:val="008A1DF9"/>
    <w:rsid w:val="008A50DB"/>
    <w:rsid w:val="008B13A0"/>
    <w:rsid w:val="008B2900"/>
    <w:rsid w:val="008B3A3E"/>
    <w:rsid w:val="008B7396"/>
    <w:rsid w:val="008B7C2B"/>
    <w:rsid w:val="008B7F82"/>
    <w:rsid w:val="008C125C"/>
    <w:rsid w:val="008C454A"/>
    <w:rsid w:val="008C6A5C"/>
    <w:rsid w:val="008D1F5B"/>
    <w:rsid w:val="008D427C"/>
    <w:rsid w:val="008D5724"/>
    <w:rsid w:val="008E4352"/>
    <w:rsid w:val="008E6EF9"/>
    <w:rsid w:val="008F15D2"/>
    <w:rsid w:val="008F654F"/>
    <w:rsid w:val="008F6635"/>
    <w:rsid w:val="00901C26"/>
    <w:rsid w:val="00913071"/>
    <w:rsid w:val="00917890"/>
    <w:rsid w:val="00923DF7"/>
    <w:rsid w:val="0092491F"/>
    <w:rsid w:val="00930200"/>
    <w:rsid w:val="00931AE8"/>
    <w:rsid w:val="00934855"/>
    <w:rsid w:val="00942A11"/>
    <w:rsid w:val="00942A7F"/>
    <w:rsid w:val="00947B0F"/>
    <w:rsid w:val="009503CA"/>
    <w:rsid w:val="00950E09"/>
    <w:rsid w:val="00957B27"/>
    <w:rsid w:val="00964BF1"/>
    <w:rsid w:val="00964F5B"/>
    <w:rsid w:val="00972B54"/>
    <w:rsid w:val="0097443B"/>
    <w:rsid w:val="009746FD"/>
    <w:rsid w:val="00975D8C"/>
    <w:rsid w:val="00977AB9"/>
    <w:rsid w:val="0098561F"/>
    <w:rsid w:val="00986323"/>
    <w:rsid w:val="00996C9B"/>
    <w:rsid w:val="009A00F8"/>
    <w:rsid w:val="009A2C9D"/>
    <w:rsid w:val="009A30CD"/>
    <w:rsid w:val="009A3360"/>
    <w:rsid w:val="009B190C"/>
    <w:rsid w:val="009B1C1C"/>
    <w:rsid w:val="009C16BC"/>
    <w:rsid w:val="009C5D6C"/>
    <w:rsid w:val="009C64B2"/>
    <w:rsid w:val="009C65BD"/>
    <w:rsid w:val="009C75ED"/>
    <w:rsid w:val="009D0B56"/>
    <w:rsid w:val="009D7000"/>
    <w:rsid w:val="009E4394"/>
    <w:rsid w:val="009F1383"/>
    <w:rsid w:val="009F2558"/>
    <w:rsid w:val="009F2812"/>
    <w:rsid w:val="00A005F8"/>
    <w:rsid w:val="00A05392"/>
    <w:rsid w:val="00A15204"/>
    <w:rsid w:val="00A154C2"/>
    <w:rsid w:val="00A17FE8"/>
    <w:rsid w:val="00A237E2"/>
    <w:rsid w:val="00A25259"/>
    <w:rsid w:val="00A279BE"/>
    <w:rsid w:val="00A3308A"/>
    <w:rsid w:val="00A33BA6"/>
    <w:rsid w:val="00A34018"/>
    <w:rsid w:val="00A356BA"/>
    <w:rsid w:val="00A4207B"/>
    <w:rsid w:val="00A43429"/>
    <w:rsid w:val="00A445C2"/>
    <w:rsid w:val="00A45576"/>
    <w:rsid w:val="00A5141F"/>
    <w:rsid w:val="00A535B9"/>
    <w:rsid w:val="00A608A6"/>
    <w:rsid w:val="00A61590"/>
    <w:rsid w:val="00A649B6"/>
    <w:rsid w:val="00A651F6"/>
    <w:rsid w:val="00A7000C"/>
    <w:rsid w:val="00A7193D"/>
    <w:rsid w:val="00A76C0B"/>
    <w:rsid w:val="00A82775"/>
    <w:rsid w:val="00AA0D20"/>
    <w:rsid w:val="00AA1E6A"/>
    <w:rsid w:val="00AA3355"/>
    <w:rsid w:val="00AA3E7A"/>
    <w:rsid w:val="00AA5553"/>
    <w:rsid w:val="00AA6EC0"/>
    <w:rsid w:val="00AB54B3"/>
    <w:rsid w:val="00AC0EA6"/>
    <w:rsid w:val="00AC1F5B"/>
    <w:rsid w:val="00AC68CC"/>
    <w:rsid w:val="00AC6E36"/>
    <w:rsid w:val="00AD13C7"/>
    <w:rsid w:val="00AD3457"/>
    <w:rsid w:val="00AE1358"/>
    <w:rsid w:val="00AE77B1"/>
    <w:rsid w:val="00AF132E"/>
    <w:rsid w:val="00AF3779"/>
    <w:rsid w:val="00AF5CF0"/>
    <w:rsid w:val="00AF641F"/>
    <w:rsid w:val="00B035D4"/>
    <w:rsid w:val="00B04DF7"/>
    <w:rsid w:val="00B21B7B"/>
    <w:rsid w:val="00B23452"/>
    <w:rsid w:val="00B245D0"/>
    <w:rsid w:val="00B270F8"/>
    <w:rsid w:val="00B274D7"/>
    <w:rsid w:val="00B2790A"/>
    <w:rsid w:val="00B311E6"/>
    <w:rsid w:val="00B3528F"/>
    <w:rsid w:val="00B36BE7"/>
    <w:rsid w:val="00B4082D"/>
    <w:rsid w:val="00B40C15"/>
    <w:rsid w:val="00B42B87"/>
    <w:rsid w:val="00B55795"/>
    <w:rsid w:val="00B57675"/>
    <w:rsid w:val="00B601DA"/>
    <w:rsid w:val="00B60AA4"/>
    <w:rsid w:val="00B64299"/>
    <w:rsid w:val="00B644A6"/>
    <w:rsid w:val="00B64FFA"/>
    <w:rsid w:val="00B65CDF"/>
    <w:rsid w:val="00B7252C"/>
    <w:rsid w:val="00B73523"/>
    <w:rsid w:val="00B739A3"/>
    <w:rsid w:val="00B73F57"/>
    <w:rsid w:val="00B76851"/>
    <w:rsid w:val="00B77FA2"/>
    <w:rsid w:val="00B81D26"/>
    <w:rsid w:val="00B84EDF"/>
    <w:rsid w:val="00B877E8"/>
    <w:rsid w:val="00BA0A30"/>
    <w:rsid w:val="00BA4817"/>
    <w:rsid w:val="00BA6BB5"/>
    <w:rsid w:val="00BB2E60"/>
    <w:rsid w:val="00BB5944"/>
    <w:rsid w:val="00BC2D1E"/>
    <w:rsid w:val="00BC322C"/>
    <w:rsid w:val="00BC3979"/>
    <w:rsid w:val="00BD0941"/>
    <w:rsid w:val="00BD1B11"/>
    <w:rsid w:val="00BD4A38"/>
    <w:rsid w:val="00BD4A8F"/>
    <w:rsid w:val="00BE3205"/>
    <w:rsid w:val="00BE6D07"/>
    <w:rsid w:val="00BE77A2"/>
    <w:rsid w:val="00BF232B"/>
    <w:rsid w:val="00BF3772"/>
    <w:rsid w:val="00BF5D82"/>
    <w:rsid w:val="00BF757A"/>
    <w:rsid w:val="00C00022"/>
    <w:rsid w:val="00C028EC"/>
    <w:rsid w:val="00C11811"/>
    <w:rsid w:val="00C11BBE"/>
    <w:rsid w:val="00C12444"/>
    <w:rsid w:val="00C21C77"/>
    <w:rsid w:val="00C231B1"/>
    <w:rsid w:val="00C268A4"/>
    <w:rsid w:val="00C26D04"/>
    <w:rsid w:val="00C272D4"/>
    <w:rsid w:val="00C27775"/>
    <w:rsid w:val="00C40185"/>
    <w:rsid w:val="00C51D40"/>
    <w:rsid w:val="00C52AD8"/>
    <w:rsid w:val="00C55284"/>
    <w:rsid w:val="00C56D8C"/>
    <w:rsid w:val="00C61DD3"/>
    <w:rsid w:val="00C67DCF"/>
    <w:rsid w:val="00C703E7"/>
    <w:rsid w:val="00C70E57"/>
    <w:rsid w:val="00C84F59"/>
    <w:rsid w:val="00C84FFD"/>
    <w:rsid w:val="00C869A2"/>
    <w:rsid w:val="00C976F3"/>
    <w:rsid w:val="00CA690D"/>
    <w:rsid w:val="00CA6ABC"/>
    <w:rsid w:val="00CB4595"/>
    <w:rsid w:val="00CC0923"/>
    <w:rsid w:val="00CC0AA3"/>
    <w:rsid w:val="00CC100C"/>
    <w:rsid w:val="00CC5B66"/>
    <w:rsid w:val="00CD6293"/>
    <w:rsid w:val="00CE0DD8"/>
    <w:rsid w:val="00CE1C3C"/>
    <w:rsid w:val="00CE1F3B"/>
    <w:rsid w:val="00CE7269"/>
    <w:rsid w:val="00CE7911"/>
    <w:rsid w:val="00CF23C9"/>
    <w:rsid w:val="00CF37FA"/>
    <w:rsid w:val="00CF6A47"/>
    <w:rsid w:val="00D00F11"/>
    <w:rsid w:val="00D02CAB"/>
    <w:rsid w:val="00D0718F"/>
    <w:rsid w:val="00D12195"/>
    <w:rsid w:val="00D13085"/>
    <w:rsid w:val="00D1451D"/>
    <w:rsid w:val="00D1743B"/>
    <w:rsid w:val="00D21AD6"/>
    <w:rsid w:val="00D23962"/>
    <w:rsid w:val="00D318B0"/>
    <w:rsid w:val="00D361CA"/>
    <w:rsid w:val="00D37530"/>
    <w:rsid w:val="00D41F7D"/>
    <w:rsid w:val="00D42E9E"/>
    <w:rsid w:val="00D467F8"/>
    <w:rsid w:val="00D46AA7"/>
    <w:rsid w:val="00D47404"/>
    <w:rsid w:val="00D53C87"/>
    <w:rsid w:val="00D56015"/>
    <w:rsid w:val="00D56EC1"/>
    <w:rsid w:val="00D57A6F"/>
    <w:rsid w:val="00D62A4E"/>
    <w:rsid w:val="00D6361A"/>
    <w:rsid w:val="00D66BA0"/>
    <w:rsid w:val="00D67B49"/>
    <w:rsid w:val="00D71DA0"/>
    <w:rsid w:val="00D73845"/>
    <w:rsid w:val="00D846C2"/>
    <w:rsid w:val="00D85B6C"/>
    <w:rsid w:val="00D86FE9"/>
    <w:rsid w:val="00D8739D"/>
    <w:rsid w:val="00D90EA3"/>
    <w:rsid w:val="00D9109C"/>
    <w:rsid w:val="00D928B3"/>
    <w:rsid w:val="00DA0B1B"/>
    <w:rsid w:val="00DA2726"/>
    <w:rsid w:val="00DA2D55"/>
    <w:rsid w:val="00DA5E68"/>
    <w:rsid w:val="00DB106E"/>
    <w:rsid w:val="00DB36C2"/>
    <w:rsid w:val="00DC02B1"/>
    <w:rsid w:val="00DC0D9A"/>
    <w:rsid w:val="00DC15E4"/>
    <w:rsid w:val="00DC283A"/>
    <w:rsid w:val="00DC2E36"/>
    <w:rsid w:val="00DC4936"/>
    <w:rsid w:val="00DC5FF1"/>
    <w:rsid w:val="00DC661D"/>
    <w:rsid w:val="00DD1723"/>
    <w:rsid w:val="00DE4E3E"/>
    <w:rsid w:val="00DF3C7F"/>
    <w:rsid w:val="00DF4060"/>
    <w:rsid w:val="00E0273A"/>
    <w:rsid w:val="00E07E15"/>
    <w:rsid w:val="00E11CC2"/>
    <w:rsid w:val="00E12285"/>
    <w:rsid w:val="00E148C2"/>
    <w:rsid w:val="00E160D6"/>
    <w:rsid w:val="00E163C1"/>
    <w:rsid w:val="00E25351"/>
    <w:rsid w:val="00E25856"/>
    <w:rsid w:val="00E26CD1"/>
    <w:rsid w:val="00E315F9"/>
    <w:rsid w:val="00E3598F"/>
    <w:rsid w:val="00E35C03"/>
    <w:rsid w:val="00E3612F"/>
    <w:rsid w:val="00E432C1"/>
    <w:rsid w:val="00E463D6"/>
    <w:rsid w:val="00E504F9"/>
    <w:rsid w:val="00E515B6"/>
    <w:rsid w:val="00E52F05"/>
    <w:rsid w:val="00E61046"/>
    <w:rsid w:val="00E64A07"/>
    <w:rsid w:val="00E666B8"/>
    <w:rsid w:val="00E66A3D"/>
    <w:rsid w:val="00E71A6D"/>
    <w:rsid w:val="00E83E7F"/>
    <w:rsid w:val="00E85086"/>
    <w:rsid w:val="00E8783F"/>
    <w:rsid w:val="00E94026"/>
    <w:rsid w:val="00EA027B"/>
    <w:rsid w:val="00EA0EAA"/>
    <w:rsid w:val="00EA205A"/>
    <w:rsid w:val="00EA5586"/>
    <w:rsid w:val="00EB3B0D"/>
    <w:rsid w:val="00EB52A4"/>
    <w:rsid w:val="00EC247C"/>
    <w:rsid w:val="00EC31AF"/>
    <w:rsid w:val="00EC392F"/>
    <w:rsid w:val="00EC5151"/>
    <w:rsid w:val="00ED1CEE"/>
    <w:rsid w:val="00ED3924"/>
    <w:rsid w:val="00ED4BB5"/>
    <w:rsid w:val="00EE25BB"/>
    <w:rsid w:val="00EE3D32"/>
    <w:rsid w:val="00EE5F86"/>
    <w:rsid w:val="00EF4509"/>
    <w:rsid w:val="00F01563"/>
    <w:rsid w:val="00F055D5"/>
    <w:rsid w:val="00F10134"/>
    <w:rsid w:val="00F1695E"/>
    <w:rsid w:val="00F17659"/>
    <w:rsid w:val="00F22898"/>
    <w:rsid w:val="00F23705"/>
    <w:rsid w:val="00F24933"/>
    <w:rsid w:val="00F2750A"/>
    <w:rsid w:val="00F334FA"/>
    <w:rsid w:val="00F360BD"/>
    <w:rsid w:val="00F41720"/>
    <w:rsid w:val="00F42D00"/>
    <w:rsid w:val="00F443AB"/>
    <w:rsid w:val="00F458C8"/>
    <w:rsid w:val="00F61AED"/>
    <w:rsid w:val="00F63E15"/>
    <w:rsid w:val="00F6632E"/>
    <w:rsid w:val="00F67009"/>
    <w:rsid w:val="00F80FCC"/>
    <w:rsid w:val="00F810EB"/>
    <w:rsid w:val="00F8277D"/>
    <w:rsid w:val="00F8571F"/>
    <w:rsid w:val="00F86BEE"/>
    <w:rsid w:val="00F87EA1"/>
    <w:rsid w:val="00F95F3A"/>
    <w:rsid w:val="00FA00F7"/>
    <w:rsid w:val="00FA1712"/>
    <w:rsid w:val="00FA5029"/>
    <w:rsid w:val="00FB0455"/>
    <w:rsid w:val="00FB0BD8"/>
    <w:rsid w:val="00FB20D4"/>
    <w:rsid w:val="00FB3912"/>
    <w:rsid w:val="00FB7F31"/>
    <w:rsid w:val="00FC0437"/>
    <w:rsid w:val="00FC3807"/>
    <w:rsid w:val="00FC4137"/>
    <w:rsid w:val="00FC66F7"/>
    <w:rsid w:val="00FC6898"/>
    <w:rsid w:val="00FD22ED"/>
    <w:rsid w:val="00FD7564"/>
    <w:rsid w:val="00FE1C92"/>
    <w:rsid w:val="00FF74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5"/>
    <w:pPr>
      <w:spacing w:after="0" w:line="240" w:lineRule="auto"/>
    </w:pPr>
    <w:rPr>
      <w:rFonts w:ascii="Calibri" w:eastAsia="MS Mincho" w:hAnsi="Calibri" w:cs="Times New Roman"/>
      <w:sz w:val="24"/>
      <w:szCs w:val="24"/>
      <w:lang w:val="es-ES_tradnl"/>
    </w:rPr>
  </w:style>
  <w:style w:type="paragraph" w:styleId="Heading3">
    <w:name w:val="heading 3"/>
    <w:basedOn w:val="Normal"/>
    <w:next w:val="Normal"/>
    <w:link w:val="Heading3Char"/>
    <w:autoRedefine/>
    <w:qFormat/>
    <w:rsid w:val="002D4316"/>
    <w:pPr>
      <w:keepNext/>
      <w:ind w:right="663"/>
      <w:jc w:val="both"/>
      <w:outlineLvl w:val="2"/>
    </w:pPr>
    <w:rPr>
      <w:rFonts w:ascii="Arial" w:eastAsia="Times New Roman"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A05"/>
    <w:pPr>
      <w:ind w:left="720"/>
      <w:contextualSpacing/>
    </w:pPr>
  </w:style>
  <w:style w:type="paragraph" w:styleId="FootnoteText">
    <w:name w:val="footnote text"/>
    <w:basedOn w:val="Normal"/>
    <w:link w:val="FootnoteTextChar"/>
    <w:uiPriority w:val="99"/>
    <w:semiHidden/>
    <w:unhideWhenUsed/>
    <w:rsid w:val="00666A05"/>
    <w:rPr>
      <w:sz w:val="20"/>
      <w:szCs w:val="20"/>
    </w:rPr>
  </w:style>
  <w:style w:type="character" w:customStyle="1" w:styleId="FootnoteTextChar">
    <w:name w:val="Footnote Text Char"/>
    <w:basedOn w:val="DefaultParagraphFont"/>
    <w:link w:val="FootnoteText"/>
    <w:uiPriority w:val="99"/>
    <w:semiHidden/>
    <w:rsid w:val="00666A05"/>
    <w:rPr>
      <w:rFonts w:ascii="Calibri" w:eastAsia="MS Mincho" w:hAnsi="Calibri" w:cs="Times New Roman"/>
      <w:sz w:val="20"/>
      <w:szCs w:val="20"/>
      <w:lang w:val="es-ES_tradnl"/>
    </w:rPr>
  </w:style>
  <w:style w:type="character" w:styleId="FootnoteReference">
    <w:name w:val="footnote reference"/>
    <w:basedOn w:val="DefaultParagraphFont"/>
    <w:uiPriority w:val="99"/>
    <w:semiHidden/>
    <w:unhideWhenUsed/>
    <w:rsid w:val="00666A05"/>
    <w:rPr>
      <w:vertAlign w:val="superscript"/>
    </w:rPr>
  </w:style>
  <w:style w:type="paragraph" w:styleId="BalloonText">
    <w:name w:val="Balloon Text"/>
    <w:basedOn w:val="Normal"/>
    <w:link w:val="BalloonTextChar"/>
    <w:uiPriority w:val="99"/>
    <w:semiHidden/>
    <w:unhideWhenUsed/>
    <w:rsid w:val="00666A05"/>
    <w:rPr>
      <w:rFonts w:ascii="Tahoma" w:hAnsi="Tahoma" w:cs="Tahoma"/>
      <w:sz w:val="16"/>
      <w:szCs w:val="16"/>
    </w:rPr>
  </w:style>
  <w:style w:type="character" w:customStyle="1" w:styleId="BalloonTextChar">
    <w:name w:val="Balloon Text Char"/>
    <w:basedOn w:val="DefaultParagraphFont"/>
    <w:link w:val="BalloonText"/>
    <w:uiPriority w:val="99"/>
    <w:semiHidden/>
    <w:rsid w:val="00666A05"/>
    <w:rPr>
      <w:rFonts w:ascii="Tahoma" w:eastAsia="MS Mincho" w:hAnsi="Tahoma" w:cs="Tahoma"/>
      <w:sz w:val="16"/>
      <w:szCs w:val="16"/>
      <w:lang w:val="es-ES_tradnl"/>
    </w:rPr>
  </w:style>
  <w:style w:type="paragraph" w:styleId="Header">
    <w:name w:val="header"/>
    <w:basedOn w:val="Normal"/>
    <w:link w:val="HeaderChar"/>
    <w:uiPriority w:val="99"/>
    <w:unhideWhenUsed/>
    <w:rsid w:val="00666A05"/>
    <w:pPr>
      <w:tabs>
        <w:tab w:val="center" w:pos="4419"/>
        <w:tab w:val="right" w:pos="8838"/>
      </w:tabs>
    </w:pPr>
  </w:style>
  <w:style w:type="character" w:customStyle="1" w:styleId="HeaderChar">
    <w:name w:val="Header Char"/>
    <w:basedOn w:val="DefaultParagraphFont"/>
    <w:link w:val="Header"/>
    <w:uiPriority w:val="99"/>
    <w:rsid w:val="00666A05"/>
    <w:rPr>
      <w:rFonts w:ascii="Calibri" w:eastAsia="MS Mincho" w:hAnsi="Calibri" w:cs="Times New Roman"/>
      <w:sz w:val="24"/>
      <w:szCs w:val="24"/>
      <w:lang w:val="es-ES_tradnl"/>
    </w:rPr>
  </w:style>
  <w:style w:type="paragraph" w:styleId="Footer">
    <w:name w:val="footer"/>
    <w:basedOn w:val="Normal"/>
    <w:link w:val="FooterChar"/>
    <w:uiPriority w:val="99"/>
    <w:unhideWhenUsed/>
    <w:rsid w:val="00666A05"/>
    <w:pPr>
      <w:tabs>
        <w:tab w:val="center" w:pos="4419"/>
        <w:tab w:val="right" w:pos="8838"/>
      </w:tabs>
    </w:pPr>
  </w:style>
  <w:style w:type="character" w:customStyle="1" w:styleId="FooterChar">
    <w:name w:val="Footer Char"/>
    <w:basedOn w:val="DefaultParagraphFont"/>
    <w:link w:val="Footer"/>
    <w:uiPriority w:val="99"/>
    <w:rsid w:val="00666A05"/>
    <w:rPr>
      <w:rFonts w:ascii="Calibri" w:eastAsia="MS Mincho" w:hAnsi="Calibri" w:cs="Times New Roman"/>
      <w:sz w:val="24"/>
      <w:szCs w:val="24"/>
      <w:lang w:val="es-ES_tradnl"/>
    </w:rPr>
  </w:style>
  <w:style w:type="table" w:styleId="TableGrid">
    <w:name w:val="Table Grid"/>
    <w:basedOn w:val="TableNormal"/>
    <w:uiPriority w:val="59"/>
    <w:rsid w:val="009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61DD3"/>
    <w:pPr>
      <w:tabs>
        <w:tab w:val="left" w:pos="-1440"/>
        <w:tab w:val="left" w:pos="-720"/>
      </w:tabs>
      <w:ind w:left="1440" w:hanging="27"/>
      <w:jc w:val="both"/>
    </w:pPr>
    <w:rPr>
      <w:rFonts w:ascii="Book Antiqua" w:eastAsia="Times New Roman" w:hAnsi="Book Antiqua"/>
      <w:sz w:val="22"/>
      <w:szCs w:val="20"/>
      <w:lang w:eastAsia="es-ES"/>
    </w:rPr>
  </w:style>
  <w:style w:type="character" w:customStyle="1" w:styleId="BodyTextIndent3Char">
    <w:name w:val="Body Text Indent 3 Char"/>
    <w:basedOn w:val="DefaultParagraphFont"/>
    <w:link w:val="BodyTextIndent3"/>
    <w:rsid w:val="00C61DD3"/>
    <w:rPr>
      <w:rFonts w:ascii="Book Antiqua" w:eastAsia="Times New Roman" w:hAnsi="Book Antiqua" w:cs="Times New Roman"/>
      <w:szCs w:val="20"/>
      <w:lang w:val="es-ES_tradnl" w:eastAsia="es-ES"/>
    </w:rPr>
  </w:style>
  <w:style w:type="paragraph" w:styleId="BodyText3">
    <w:name w:val="Body Text 3"/>
    <w:basedOn w:val="Normal"/>
    <w:link w:val="BodyText3Char"/>
    <w:uiPriority w:val="99"/>
    <w:semiHidden/>
    <w:unhideWhenUsed/>
    <w:rsid w:val="003C598A"/>
    <w:pPr>
      <w:spacing w:after="120"/>
    </w:pPr>
    <w:rPr>
      <w:sz w:val="16"/>
      <w:szCs w:val="16"/>
    </w:rPr>
  </w:style>
  <w:style w:type="character" w:customStyle="1" w:styleId="BodyText3Char">
    <w:name w:val="Body Text 3 Char"/>
    <w:basedOn w:val="DefaultParagraphFont"/>
    <w:link w:val="BodyText3"/>
    <w:uiPriority w:val="99"/>
    <w:semiHidden/>
    <w:rsid w:val="003C598A"/>
    <w:rPr>
      <w:rFonts w:ascii="Calibri" w:eastAsia="MS Mincho" w:hAnsi="Calibri" w:cs="Times New Roman"/>
      <w:sz w:val="16"/>
      <w:szCs w:val="16"/>
      <w:lang w:val="es-ES_tradnl"/>
    </w:rPr>
  </w:style>
  <w:style w:type="character" w:customStyle="1" w:styleId="Heading3Char">
    <w:name w:val="Heading 3 Char"/>
    <w:basedOn w:val="DefaultParagraphFont"/>
    <w:link w:val="Heading3"/>
    <w:rsid w:val="002D4316"/>
    <w:rPr>
      <w:rFonts w:ascii="Arial" w:eastAsia="Times New Roman" w:hAnsi="Arial" w:cs="Times New Roman"/>
      <w:b/>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5"/>
    <w:pPr>
      <w:spacing w:after="0" w:line="240" w:lineRule="auto"/>
    </w:pPr>
    <w:rPr>
      <w:rFonts w:ascii="Calibri" w:eastAsia="MS Mincho" w:hAnsi="Calibri" w:cs="Times New Roman"/>
      <w:sz w:val="24"/>
      <w:szCs w:val="24"/>
      <w:lang w:val="es-ES_tradnl"/>
    </w:rPr>
  </w:style>
  <w:style w:type="paragraph" w:styleId="Heading3">
    <w:name w:val="heading 3"/>
    <w:basedOn w:val="Normal"/>
    <w:next w:val="Normal"/>
    <w:link w:val="Heading3Char"/>
    <w:autoRedefine/>
    <w:qFormat/>
    <w:rsid w:val="002D4316"/>
    <w:pPr>
      <w:keepNext/>
      <w:ind w:right="663"/>
      <w:jc w:val="both"/>
      <w:outlineLvl w:val="2"/>
    </w:pPr>
    <w:rPr>
      <w:rFonts w:ascii="Arial" w:eastAsia="Times New Roman"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A05"/>
    <w:pPr>
      <w:ind w:left="720"/>
      <w:contextualSpacing/>
    </w:pPr>
  </w:style>
  <w:style w:type="paragraph" w:styleId="FootnoteText">
    <w:name w:val="footnote text"/>
    <w:basedOn w:val="Normal"/>
    <w:link w:val="FootnoteTextChar"/>
    <w:uiPriority w:val="99"/>
    <w:semiHidden/>
    <w:unhideWhenUsed/>
    <w:rsid w:val="00666A05"/>
    <w:rPr>
      <w:sz w:val="20"/>
      <w:szCs w:val="20"/>
    </w:rPr>
  </w:style>
  <w:style w:type="character" w:customStyle="1" w:styleId="FootnoteTextChar">
    <w:name w:val="Footnote Text Char"/>
    <w:basedOn w:val="DefaultParagraphFont"/>
    <w:link w:val="FootnoteText"/>
    <w:uiPriority w:val="99"/>
    <w:semiHidden/>
    <w:rsid w:val="00666A05"/>
    <w:rPr>
      <w:rFonts w:ascii="Calibri" w:eastAsia="MS Mincho" w:hAnsi="Calibri" w:cs="Times New Roman"/>
      <w:sz w:val="20"/>
      <w:szCs w:val="20"/>
      <w:lang w:val="es-ES_tradnl"/>
    </w:rPr>
  </w:style>
  <w:style w:type="character" w:styleId="FootnoteReference">
    <w:name w:val="footnote reference"/>
    <w:basedOn w:val="DefaultParagraphFont"/>
    <w:uiPriority w:val="99"/>
    <w:semiHidden/>
    <w:unhideWhenUsed/>
    <w:rsid w:val="00666A05"/>
    <w:rPr>
      <w:vertAlign w:val="superscript"/>
    </w:rPr>
  </w:style>
  <w:style w:type="paragraph" w:styleId="BalloonText">
    <w:name w:val="Balloon Text"/>
    <w:basedOn w:val="Normal"/>
    <w:link w:val="BalloonTextChar"/>
    <w:uiPriority w:val="99"/>
    <w:semiHidden/>
    <w:unhideWhenUsed/>
    <w:rsid w:val="00666A05"/>
    <w:rPr>
      <w:rFonts w:ascii="Tahoma" w:hAnsi="Tahoma" w:cs="Tahoma"/>
      <w:sz w:val="16"/>
      <w:szCs w:val="16"/>
    </w:rPr>
  </w:style>
  <w:style w:type="character" w:customStyle="1" w:styleId="BalloonTextChar">
    <w:name w:val="Balloon Text Char"/>
    <w:basedOn w:val="DefaultParagraphFont"/>
    <w:link w:val="BalloonText"/>
    <w:uiPriority w:val="99"/>
    <w:semiHidden/>
    <w:rsid w:val="00666A05"/>
    <w:rPr>
      <w:rFonts w:ascii="Tahoma" w:eastAsia="MS Mincho" w:hAnsi="Tahoma" w:cs="Tahoma"/>
      <w:sz w:val="16"/>
      <w:szCs w:val="16"/>
      <w:lang w:val="es-ES_tradnl"/>
    </w:rPr>
  </w:style>
  <w:style w:type="paragraph" w:styleId="Header">
    <w:name w:val="header"/>
    <w:basedOn w:val="Normal"/>
    <w:link w:val="HeaderChar"/>
    <w:uiPriority w:val="99"/>
    <w:unhideWhenUsed/>
    <w:rsid w:val="00666A05"/>
    <w:pPr>
      <w:tabs>
        <w:tab w:val="center" w:pos="4419"/>
        <w:tab w:val="right" w:pos="8838"/>
      </w:tabs>
    </w:pPr>
  </w:style>
  <w:style w:type="character" w:customStyle="1" w:styleId="HeaderChar">
    <w:name w:val="Header Char"/>
    <w:basedOn w:val="DefaultParagraphFont"/>
    <w:link w:val="Header"/>
    <w:uiPriority w:val="99"/>
    <w:rsid w:val="00666A05"/>
    <w:rPr>
      <w:rFonts w:ascii="Calibri" w:eastAsia="MS Mincho" w:hAnsi="Calibri" w:cs="Times New Roman"/>
      <w:sz w:val="24"/>
      <w:szCs w:val="24"/>
      <w:lang w:val="es-ES_tradnl"/>
    </w:rPr>
  </w:style>
  <w:style w:type="paragraph" w:styleId="Footer">
    <w:name w:val="footer"/>
    <w:basedOn w:val="Normal"/>
    <w:link w:val="FooterChar"/>
    <w:uiPriority w:val="99"/>
    <w:unhideWhenUsed/>
    <w:rsid w:val="00666A05"/>
    <w:pPr>
      <w:tabs>
        <w:tab w:val="center" w:pos="4419"/>
        <w:tab w:val="right" w:pos="8838"/>
      </w:tabs>
    </w:pPr>
  </w:style>
  <w:style w:type="character" w:customStyle="1" w:styleId="FooterChar">
    <w:name w:val="Footer Char"/>
    <w:basedOn w:val="DefaultParagraphFont"/>
    <w:link w:val="Footer"/>
    <w:uiPriority w:val="99"/>
    <w:rsid w:val="00666A05"/>
    <w:rPr>
      <w:rFonts w:ascii="Calibri" w:eastAsia="MS Mincho" w:hAnsi="Calibri" w:cs="Times New Roman"/>
      <w:sz w:val="24"/>
      <w:szCs w:val="24"/>
      <w:lang w:val="es-ES_tradnl"/>
    </w:rPr>
  </w:style>
  <w:style w:type="table" w:styleId="TableGrid">
    <w:name w:val="Table Grid"/>
    <w:basedOn w:val="TableNormal"/>
    <w:uiPriority w:val="59"/>
    <w:rsid w:val="009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61DD3"/>
    <w:pPr>
      <w:tabs>
        <w:tab w:val="left" w:pos="-1440"/>
        <w:tab w:val="left" w:pos="-720"/>
      </w:tabs>
      <w:ind w:left="1440" w:hanging="27"/>
      <w:jc w:val="both"/>
    </w:pPr>
    <w:rPr>
      <w:rFonts w:ascii="Book Antiqua" w:eastAsia="Times New Roman" w:hAnsi="Book Antiqua"/>
      <w:sz w:val="22"/>
      <w:szCs w:val="20"/>
      <w:lang w:eastAsia="es-ES"/>
    </w:rPr>
  </w:style>
  <w:style w:type="character" w:customStyle="1" w:styleId="BodyTextIndent3Char">
    <w:name w:val="Body Text Indent 3 Char"/>
    <w:basedOn w:val="DefaultParagraphFont"/>
    <w:link w:val="BodyTextIndent3"/>
    <w:rsid w:val="00C61DD3"/>
    <w:rPr>
      <w:rFonts w:ascii="Book Antiqua" w:eastAsia="Times New Roman" w:hAnsi="Book Antiqua" w:cs="Times New Roman"/>
      <w:szCs w:val="20"/>
      <w:lang w:val="es-ES_tradnl" w:eastAsia="es-ES"/>
    </w:rPr>
  </w:style>
  <w:style w:type="paragraph" w:styleId="BodyText3">
    <w:name w:val="Body Text 3"/>
    <w:basedOn w:val="Normal"/>
    <w:link w:val="BodyText3Char"/>
    <w:uiPriority w:val="99"/>
    <w:semiHidden/>
    <w:unhideWhenUsed/>
    <w:rsid w:val="003C598A"/>
    <w:pPr>
      <w:spacing w:after="120"/>
    </w:pPr>
    <w:rPr>
      <w:sz w:val="16"/>
      <w:szCs w:val="16"/>
    </w:rPr>
  </w:style>
  <w:style w:type="character" w:customStyle="1" w:styleId="BodyText3Char">
    <w:name w:val="Body Text 3 Char"/>
    <w:basedOn w:val="DefaultParagraphFont"/>
    <w:link w:val="BodyText3"/>
    <w:uiPriority w:val="99"/>
    <w:semiHidden/>
    <w:rsid w:val="003C598A"/>
    <w:rPr>
      <w:rFonts w:ascii="Calibri" w:eastAsia="MS Mincho" w:hAnsi="Calibri" w:cs="Times New Roman"/>
      <w:sz w:val="16"/>
      <w:szCs w:val="16"/>
      <w:lang w:val="es-ES_tradnl"/>
    </w:rPr>
  </w:style>
  <w:style w:type="character" w:customStyle="1" w:styleId="Heading3Char">
    <w:name w:val="Heading 3 Char"/>
    <w:basedOn w:val="DefaultParagraphFont"/>
    <w:link w:val="Heading3"/>
    <w:rsid w:val="002D4316"/>
    <w:rPr>
      <w:rFonts w:ascii="Arial" w:eastAsia="Times New Roman" w:hAnsi="Arial"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441">
      <w:bodyDiv w:val="1"/>
      <w:marLeft w:val="0"/>
      <w:marRight w:val="0"/>
      <w:marTop w:val="0"/>
      <w:marBottom w:val="0"/>
      <w:divBdr>
        <w:top w:val="none" w:sz="0" w:space="0" w:color="auto"/>
        <w:left w:val="none" w:sz="0" w:space="0" w:color="auto"/>
        <w:bottom w:val="none" w:sz="0" w:space="0" w:color="auto"/>
        <w:right w:val="none" w:sz="0" w:space="0" w:color="auto"/>
      </w:divBdr>
    </w:div>
    <w:div w:id="73363667">
      <w:bodyDiv w:val="1"/>
      <w:marLeft w:val="0"/>
      <w:marRight w:val="0"/>
      <w:marTop w:val="0"/>
      <w:marBottom w:val="0"/>
      <w:divBdr>
        <w:top w:val="none" w:sz="0" w:space="0" w:color="auto"/>
        <w:left w:val="none" w:sz="0" w:space="0" w:color="auto"/>
        <w:bottom w:val="none" w:sz="0" w:space="0" w:color="auto"/>
        <w:right w:val="none" w:sz="0" w:space="0" w:color="auto"/>
      </w:divBdr>
    </w:div>
    <w:div w:id="153570505">
      <w:bodyDiv w:val="1"/>
      <w:marLeft w:val="0"/>
      <w:marRight w:val="0"/>
      <w:marTop w:val="0"/>
      <w:marBottom w:val="0"/>
      <w:divBdr>
        <w:top w:val="none" w:sz="0" w:space="0" w:color="auto"/>
        <w:left w:val="none" w:sz="0" w:space="0" w:color="auto"/>
        <w:bottom w:val="none" w:sz="0" w:space="0" w:color="auto"/>
        <w:right w:val="none" w:sz="0" w:space="0" w:color="auto"/>
      </w:divBdr>
    </w:div>
    <w:div w:id="186450421">
      <w:bodyDiv w:val="1"/>
      <w:marLeft w:val="0"/>
      <w:marRight w:val="0"/>
      <w:marTop w:val="0"/>
      <w:marBottom w:val="0"/>
      <w:divBdr>
        <w:top w:val="none" w:sz="0" w:space="0" w:color="auto"/>
        <w:left w:val="none" w:sz="0" w:space="0" w:color="auto"/>
        <w:bottom w:val="none" w:sz="0" w:space="0" w:color="auto"/>
        <w:right w:val="none" w:sz="0" w:space="0" w:color="auto"/>
      </w:divBdr>
    </w:div>
    <w:div w:id="330330695">
      <w:bodyDiv w:val="1"/>
      <w:marLeft w:val="0"/>
      <w:marRight w:val="0"/>
      <w:marTop w:val="0"/>
      <w:marBottom w:val="0"/>
      <w:divBdr>
        <w:top w:val="none" w:sz="0" w:space="0" w:color="auto"/>
        <w:left w:val="none" w:sz="0" w:space="0" w:color="auto"/>
        <w:bottom w:val="none" w:sz="0" w:space="0" w:color="auto"/>
        <w:right w:val="none" w:sz="0" w:space="0" w:color="auto"/>
      </w:divBdr>
    </w:div>
    <w:div w:id="444006673">
      <w:bodyDiv w:val="1"/>
      <w:marLeft w:val="0"/>
      <w:marRight w:val="0"/>
      <w:marTop w:val="0"/>
      <w:marBottom w:val="0"/>
      <w:divBdr>
        <w:top w:val="none" w:sz="0" w:space="0" w:color="auto"/>
        <w:left w:val="none" w:sz="0" w:space="0" w:color="auto"/>
        <w:bottom w:val="none" w:sz="0" w:space="0" w:color="auto"/>
        <w:right w:val="none" w:sz="0" w:space="0" w:color="auto"/>
      </w:divBdr>
    </w:div>
    <w:div w:id="494691417">
      <w:bodyDiv w:val="1"/>
      <w:marLeft w:val="0"/>
      <w:marRight w:val="0"/>
      <w:marTop w:val="0"/>
      <w:marBottom w:val="0"/>
      <w:divBdr>
        <w:top w:val="none" w:sz="0" w:space="0" w:color="auto"/>
        <w:left w:val="none" w:sz="0" w:space="0" w:color="auto"/>
        <w:bottom w:val="none" w:sz="0" w:space="0" w:color="auto"/>
        <w:right w:val="none" w:sz="0" w:space="0" w:color="auto"/>
      </w:divBdr>
    </w:div>
    <w:div w:id="705522791">
      <w:bodyDiv w:val="1"/>
      <w:marLeft w:val="0"/>
      <w:marRight w:val="0"/>
      <w:marTop w:val="0"/>
      <w:marBottom w:val="0"/>
      <w:divBdr>
        <w:top w:val="none" w:sz="0" w:space="0" w:color="auto"/>
        <w:left w:val="none" w:sz="0" w:space="0" w:color="auto"/>
        <w:bottom w:val="none" w:sz="0" w:space="0" w:color="auto"/>
        <w:right w:val="none" w:sz="0" w:space="0" w:color="auto"/>
      </w:divBdr>
    </w:div>
    <w:div w:id="753628787">
      <w:bodyDiv w:val="1"/>
      <w:marLeft w:val="0"/>
      <w:marRight w:val="0"/>
      <w:marTop w:val="0"/>
      <w:marBottom w:val="0"/>
      <w:divBdr>
        <w:top w:val="none" w:sz="0" w:space="0" w:color="auto"/>
        <w:left w:val="none" w:sz="0" w:space="0" w:color="auto"/>
        <w:bottom w:val="none" w:sz="0" w:space="0" w:color="auto"/>
        <w:right w:val="none" w:sz="0" w:space="0" w:color="auto"/>
      </w:divBdr>
    </w:div>
    <w:div w:id="968827521">
      <w:bodyDiv w:val="1"/>
      <w:marLeft w:val="0"/>
      <w:marRight w:val="0"/>
      <w:marTop w:val="0"/>
      <w:marBottom w:val="0"/>
      <w:divBdr>
        <w:top w:val="none" w:sz="0" w:space="0" w:color="auto"/>
        <w:left w:val="none" w:sz="0" w:space="0" w:color="auto"/>
        <w:bottom w:val="none" w:sz="0" w:space="0" w:color="auto"/>
        <w:right w:val="none" w:sz="0" w:space="0" w:color="auto"/>
      </w:divBdr>
    </w:div>
    <w:div w:id="996344584">
      <w:bodyDiv w:val="1"/>
      <w:marLeft w:val="0"/>
      <w:marRight w:val="0"/>
      <w:marTop w:val="0"/>
      <w:marBottom w:val="0"/>
      <w:divBdr>
        <w:top w:val="none" w:sz="0" w:space="0" w:color="auto"/>
        <w:left w:val="none" w:sz="0" w:space="0" w:color="auto"/>
        <w:bottom w:val="none" w:sz="0" w:space="0" w:color="auto"/>
        <w:right w:val="none" w:sz="0" w:space="0" w:color="auto"/>
      </w:divBdr>
    </w:div>
    <w:div w:id="1160464016">
      <w:bodyDiv w:val="1"/>
      <w:marLeft w:val="0"/>
      <w:marRight w:val="0"/>
      <w:marTop w:val="0"/>
      <w:marBottom w:val="0"/>
      <w:divBdr>
        <w:top w:val="none" w:sz="0" w:space="0" w:color="auto"/>
        <w:left w:val="none" w:sz="0" w:space="0" w:color="auto"/>
        <w:bottom w:val="none" w:sz="0" w:space="0" w:color="auto"/>
        <w:right w:val="none" w:sz="0" w:space="0" w:color="auto"/>
      </w:divBdr>
    </w:div>
    <w:div w:id="1616019445">
      <w:bodyDiv w:val="1"/>
      <w:marLeft w:val="0"/>
      <w:marRight w:val="0"/>
      <w:marTop w:val="0"/>
      <w:marBottom w:val="0"/>
      <w:divBdr>
        <w:top w:val="none" w:sz="0" w:space="0" w:color="auto"/>
        <w:left w:val="none" w:sz="0" w:space="0" w:color="auto"/>
        <w:bottom w:val="none" w:sz="0" w:space="0" w:color="auto"/>
        <w:right w:val="none" w:sz="0" w:space="0" w:color="auto"/>
      </w:divBdr>
    </w:div>
    <w:div w:id="1784838002">
      <w:bodyDiv w:val="1"/>
      <w:marLeft w:val="0"/>
      <w:marRight w:val="0"/>
      <w:marTop w:val="0"/>
      <w:marBottom w:val="0"/>
      <w:divBdr>
        <w:top w:val="none" w:sz="0" w:space="0" w:color="auto"/>
        <w:left w:val="none" w:sz="0" w:space="0" w:color="auto"/>
        <w:bottom w:val="none" w:sz="0" w:space="0" w:color="auto"/>
        <w:right w:val="none" w:sz="0" w:space="0" w:color="auto"/>
      </w:divBdr>
    </w:div>
    <w:div w:id="1804079257">
      <w:bodyDiv w:val="1"/>
      <w:marLeft w:val="0"/>
      <w:marRight w:val="0"/>
      <w:marTop w:val="0"/>
      <w:marBottom w:val="0"/>
      <w:divBdr>
        <w:top w:val="none" w:sz="0" w:space="0" w:color="auto"/>
        <w:left w:val="none" w:sz="0" w:space="0" w:color="auto"/>
        <w:bottom w:val="none" w:sz="0" w:space="0" w:color="auto"/>
        <w:right w:val="none" w:sz="0" w:space="0" w:color="auto"/>
      </w:divBdr>
    </w:div>
    <w:div w:id="1873574773">
      <w:bodyDiv w:val="1"/>
      <w:marLeft w:val="0"/>
      <w:marRight w:val="0"/>
      <w:marTop w:val="0"/>
      <w:marBottom w:val="0"/>
      <w:divBdr>
        <w:top w:val="none" w:sz="0" w:space="0" w:color="auto"/>
        <w:left w:val="none" w:sz="0" w:space="0" w:color="auto"/>
        <w:bottom w:val="none" w:sz="0" w:space="0" w:color="auto"/>
        <w:right w:val="none" w:sz="0" w:space="0" w:color="auto"/>
      </w:divBdr>
    </w:div>
    <w:div w:id="2016951432">
      <w:bodyDiv w:val="1"/>
      <w:marLeft w:val="0"/>
      <w:marRight w:val="0"/>
      <w:marTop w:val="0"/>
      <w:marBottom w:val="0"/>
      <w:divBdr>
        <w:top w:val="none" w:sz="0" w:space="0" w:color="auto"/>
        <w:left w:val="none" w:sz="0" w:space="0" w:color="auto"/>
        <w:bottom w:val="none" w:sz="0" w:space="0" w:color="auto"/>
        <w:right w:val="none" w:sz="0" w:space="0" w:color="auto"/>
      </w:divBdr>
    </w:div>
    <w:div w:id="21157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5C5F-6BB8-4896-806C-D9E3BFE8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1385</Words>
  <Characters>7895</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Inter-American Development Bank</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Isabel Mendez Gamboa</dc:creator>
  <cp:lastModifiedBy>Inter-American Development Bank</cp:lastModifiedBy>
  <cp:revision>2</cp:revision>
  <dcterms:created xsi:type="dcterms:W3CDTF">2015-09-09T22:59:00Z</dcterms:created>
  <dcterms:modified xsi:type="dcterms:W3CDTF">2015-09-09T22:59:00Z</dcterms:modified>
</cp:coreProperties>
</file>